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37B87" w14:textId="77777777" w:rsidR="00901249" w:rsidRDefault="00901249" w:rsidP="00901249">
      <w:pPr>
        <w:pStyle w:val="Heading1"/>
      </w:pPr>
      <w:r>
        <w:t>Community Trends</w:t>
      </w:r>
    </w:p>
    <w:p w14:paraId="67A6EF57" w14:textId="77777777" w:rsidR="00901249" w:rsidRPr="00B244D6" w:rsidRDefault="00901249" w:rsidP="00901249">
      <w:r>
        <w:t xml:space="preserve">The following data is essential to developing evidence-based approaches to ending homelessness in your community. You may have these figures already, or may want to consider collecting them in the future. Used together with your System Map, it can be used to build long term strategies to add program and housing capacity keeping up with demand. </w:t>
      </w:r>
    </w:p>
    <w:tbl>
      <w:tblPr>
        <w:tblStyle w:val="TableGridLight1"/>
        <w:tblW w:w="18286" w:type="dxa"/>
        <w:tblInd w:w="108" w:type="dxa"/>
        <w:tblLayout w:type="fixed"/>
        <w:tblLook w:val="04A0" w:firstRow="1" w:lastRow="0" w:firstColumn="1" w:lastColumn="0" w:noHBand="0" w:noVBand="1"/>
      </w:tblPr>
      <w:tblGrid>
        <w:gridCol w:w="851"/>
        <w:gridCol w:w="850"/>
        <w:gridCol w:w="850"/>
        <w:gridCol w:w="851"/>
        <w:gridCol w:w="992"/>
        <w:gridCol w:w="1134"/>
        <w:gridCol w:w="1134"/>
        <w:gridCol w:w="1134"/>
        <w:gridCol w:w="1134"/>
        <w:gridCol w:w="992"/>
        <w:gridCol w:w="1134"/>
        <w:gridCol w:w="1134"/>
        <w:gridCol w:w="851"/>
        <w:gridCol w:w="850"/>
        <w:gridCol w:w="851"/>
        <w:gridCol w:w="992"/>
        <w:gridCol w:w="992"/>
        <w:gridCol w:w="851"/>
        <w:gridCol w:w="709"/>
      </w:tblGrid>
      <w:tr w:rsidR="00253541" w:rsidRPr="00901249" w14:paraId="4145B34B" w14:textId="77777777" w:rsidTr="00253541">
        <w:trPr>
          <w:trHeight w:val="1511"/>
        </w:trPr>
        <w:tc>
          <w:tcPr>
            <w:tcW w:w="851" w:type="dxa"/>
          </w:tcPr>
          <w:p w14:paraId="0A38BBD8" w14:textId="77777777" w:rsidR="00253541" w:rsidRPr="00901249" w:rsidRDefault="00253541" w:rsidP="00873A42">
            <w:pPr>
              <w:rPr>
                <w:sz w:val="14"/>
                <w:szCs w:val="14"/>
              </w:rPr>
            </w:pPr>
          </w:p>
        </w:tc>
        <w:tc>
          <w:tcPr>
            <w:tcW w:w="850" w:type="dxa"/>
          </w:tcPr>
          <w:p w14:paraId="1E1B81EF" w14:textId="77777777" w:rsidR="00253541" w:rsidRDefault="00253541" w:rsidP="00253541">
            <w:pPr>
              <w:spacing w:after="0"/>
              <w:rPr>
                <w:sz w:val="14"/>
                <w:szCs w:val="14"/>
              </w:rPr>
            </w:pPr>
            <w:r>
              <w:rPr>
                <w:sz w:val="14"/>
                <w:szCs w:val="14"/>
              </w:rPr>
              <w:t xml:space="preserve">By-Name List </w:t>
            </w:r>
          </w:p>
          <w:p w14:paraId="77381E01" w14:textId="6C373C91" w:rsidR="00253541" w:rsidRPr="00901249" w:rsidRDefault="00253541" w:rsidP="00253541">
            <w:pPr>
              <w:spacing w:after="0"/>
              <w:rPr>
                <w:sz w:val="14"/>
                <w:szCs w:val="14"/>
              </w:rPr>
            </w:pPr>
            <w:r>
              <w:rPr>
                <w:sz w:val="14"/>
                <w:szCs w:val="14"/>
              </w:rPr>
              <w:t>(if available)</w:t>
            </w:r>
          </w:p>
        </w:tc>
        <w:tc>
          <w:tcPr>
            <w:tcW w:w="850" w:type="dxa"/>
          </w:tcPr>
          <w:p w14:paraId="3D8AFBC6" w14:textId="522F2F58" w:rsidR="00253541" w:rsidRPr="00901249" w:rsidRDefault="00253541" w:rsidP="00873A42">
            <w:pPr>
              <w:rPr>
                <w:sz w:val="14"/>
                <w:szCs w:val="14"/>
              </w:rPr>
            </w:pPr>
            <w:r w:rsidRPr="00901249">
              <w:rPr>
                <w:sz w:val="14"/>
                <w:szCs w:val="14"/>
              </w:rPr>
              <w:t>Homeless Point-in-Time Count</w:t>
            </w:r>
          </w:p>
        </w:tc>
        <w:tc>
          <w:tcPr>
            <w:tcW w:w="851" w:type="dxa"/>
          </w:tcPr>
          <w:p w14:paraId="17E9BE83" w14:textId="77777777" w:rsidR="00253541" w:rsidRPr="00901249" w:rsidRDefault="00253541" w:rsidP="00873A42">
            <w:pPr>
              <w:rPr>
                <w:sz w:val="14"/>
                <w:szCs w:val="14"/>
              </w:rPr>
            </w:pPr>
            <w:r w:rsidRPr="00901249">
              <w:rPr>
                <w:sz w:val="14"/>
                <w:szCs w:val="14"/>
              </w:rPr>
              <w:t>Homeless Count –Increase vs. Decrease From Previous year(s)</w:t>
            </w:r>
          </w:p>
        </w:tc>
        <w:tc>
          <w:tcPr>
            <w:tcW w:w="992" w:type="dxa"/>
          </w:tcPr>
          <w:p w14:paraId="7D3E6A6C" w14:textId="77777777" w:rsidR="00253541" w:rsidRPr="00901249" w:rsidRDefault="00253541" w:rsidP="00873A42">
            <w:pPr>
              <w:rPr>
                <w:sz w:val="14"/>
                <w:szCs w:val="14"/>
              </w:rPr>
            </w:pPr>
            <w:r>
              <w:rPr>
                <w:sz w:val="14"/>
                <w:szCs w:val="14"/>
              </w:rPr>
              <w:t>Annual Shelter Users Unique I</w:t>
            </w:r>
            <w:r w:rsidRPr="00901249">
              <w:rPr>
                <w:sz w:val="14"/>
                <w:szCs w:val="14"/>
              </w:rPr>
              <w:t>ndividuals</w:t>
            </w:r>
          </w:p>
        </w:tc>
        <w:tc>
          <w:tcPr>
            <w:tcW w:w="1134" w:type="dxa"/>
          </w:tcPr>
          <w:p w14:paraId="5E85B256" w14:textId="77777777" w:rsidR="00253541" w:rsidRPr="00901249" w:rsidRDefault="00253541" w:rsidP="00032182">
            <w:pPr>
              <w:rPr>
                <w:sz w:val="14"/>
                <w:szCs w:val="14"/>
              </w:rPr>
            </w:pPr>
            <w:r w:rsidRPr="00901249">
              <w:rPr>
                <w:sz w:val="14"/>
                <w:szCs w:val="14"/>
              </w:rPr>
              <w:t># Experiencing Chronic</w:t>
            </w:r>
            <w:r>
              <w:rPr>
                <w:sz w:val="14"/>
                <w:szCs w:val="14"/>
              </w:rPr>
              <w:t xml:space="preserve"> </w:t>
            </w:r>
            <w:r w:rsidRPr="00901249">
              <w:rPr>
                <w:sz w:val="14"/>
                <w:szCs w:val="14"/>
              </w:rPr>
              <w:t>Homelessness (HPS def</w:t>
            </w:r>
            <w:r>
              <w:rPr>
                <w:sz w:val="14"/>
                <w:szCs w:val="14"/>
              </w:rPr>
              <w:t>.</w:t>
            </w:r>
            <w:r w:rsidRPr="00901249">
              <w:rPr>
                <w:rStyle w:val="FootnoteReference"/>
                <w:sz w:val="14"/>
                <w:szCs w:val="14"/>
              </w:rPr>
              <w:footnoteReference w:id="1"/>
            </w:r>
            <w:r w:rsidRPr="00901249">
              <w:rPr>
                <w:sz w:val="14"/>
                <w:szCs w:val="14"/>
              </w:rPr>
              <w:t>)</w:t>
            </w:r>
          </w:p>
        </w:tc>
        <w:tc>
          <w:tcPr>
            <w:tcW w:w="1134" w:type="dxa"/>
          </w:tcPr>
          <w:p w14:paraId="4A1765E2" w14:textId="77777777" w:rsidR="00253541" w:rsidRPr="00901249" w:rsidRDefault="00253541" w:rsidP="00EB2F60">
            <w:pPr>
              <w:rPr>
                <w:sz w:val="14"/>
                <w:szCs w:val="14"/>
              </w:rPr>
            </w:pPr>
            <w:r w:rsidRPr="00901249">
              <w:rPr>
                <w:sz w:val="14"/>
                <w:szCs w:val="14"/>
              </w:rPr>
              <w:t xml:space="preserve"># Experiencing </w:t>
            </w:r>
            <w:r>
              <w:rPr>
                <w:sz w:val="14"/>
                <w:szCs w:val="14"/>
              </w:rPr>
              <w:t>Episodic Hom</w:t>
            </w:r>
            <w:r w:rsidRPr="00901249">
              <w:rPr>
                <w:sz w:val="14"/>
                <w:szCs w:val="14"/>
              </w:rPr>
              <w:t>e</w:t>
            </w:r>
            <w:r>
              <w:rPr>
                <w:sz w:val="14"/>
                <w:szCs w:val="14"/>
              </w:rPr>
              <w:t>lessness</w:t>
            </w:r>
            <w:r w:rsidRPr="00901249">
              <w:rPr>
                <w:sz w:val="14"/>
                <w:szCs w:val="14"/>
              </w:rPr>
              <w:t xml:space="preserve"> (HPS def</w:t>
            </w:r>
            <w:r>
              <w:rPr>
                <w:sz w:val="14"/>
                <w:szCs w:val="14"/>
              </w:rPr>
              <w:t>.</w:t>
            </w:r>
            <w:r w:rsidRPr="00901249">
              <w:rPr>
                <w:rStyle w:val="FootnoteReference"/>
                <w:sz w:val="14"/>
                <w:szCs w:val="14"/>
              </w:rPr>
              <w:footnoteReference w:id="2"/>
            </w:r>
            <w:r w:rsidRPr="00901249">
              <w:rPr>
                <w:sz w:val="14"/>
                <w:szCs w:val="14"/>
              </w:rPr>
              <w:t>)</w:t>
            </w:r>
          </w:p>
        </w:tc>
        <w:tc>
          <w:tcPr>
            <w:tcW w:w="1134" w:type="dxa"/>
          </w:tcPr>
          <w:p w14:paraId="7EAC645E" w14:textId="77777777" w:rsidR="00253541" w:rsidRPr="00901249" w:rsidRDefault="00253541" w:rsidP="00873A42">
            <w:pPr>
              <w:rPr>
                <w:sz w:val="14"/>
                <w:szCs w:val="14"/>
              </w:rPr>
            </w:pPr>
            <w:r w:rsidRPr="00901249">
              <w:rPr>
                <w:sz w:val="14"/>
                <w:szCs w:val="14"/>
              </w:rPr>
              <w:t># Experiencing Transitional Homelessness</w:t>
            </w:r>
          </w:p>
        </w:tc>
        <w:tc>
          <w:tcPr>
            <w:tcW w:w="1134" w:type="dxa"/>
          </w:tcPr>
          <w:p w14:paraId="36935F1D" w14:textId="77777777" w:rsidR="00253541" w:rsidRPr="00901249" w:rsidRDefault="00253541" w:rsidP="00873A42">
            <w:pPr>
              <w:rPr>
                <w:sz w:val="14"/>
                <w:szCs w:val="14"/>
              </w:rPr>
            </w:pPr>
            <w:r w:rsidRPr="00901249">
              <w:rPr>
                <w:sz w:val="14"/>
                <w:szCs w:val="14"/>
              </w:rPr>
              <w:t>% of Shelter users who stay in shelter longer than 1 year</w:t>
            </w:r>
          </w:p>
        </w:tc>
        <w:tc>
          <w:tcPr>
            <w:tcW w:w="992" w:type="dxa"/>
          </w:tcPr>
          <w:p w14:paraId="4EB4A3D7" w14:textId="77777777" w:rsidR="00253541" w:rsidRPr="00901249" w:rsidRDefault="00253541" w:rsidP="00873A42">
            <w:pPr>
              <w:rPr>
                <w:sz w:val="14"/>
                <w:szCs w:val="14"/>
              </w:rPr>
            </w:pPr>
            <w:r>
              <w:rPr>
                <w:sz w:val="14"/>
                <w:szCs w:val="14"/>
              </w:rPr>
              <w:t># Rough Sleepers Unique I</w:t>
            </w:r>
            <w:r w:rsidRPr="00901249">
              <w:rPr>
                <w:sz w:val="14"/>
                <w:szCs w:val="14"/>
              </w:rPr>
              <w:t>ndividuals</w:t>
            </w:r>
          </w:p>
        </w:tc>
        <w:tc>
          <w:tcPr>
            <w:tcW w:w="1134" w:type="dxa"/>
          </w:tcPr>
          <w:p w14:paraId="02FE53D0" w14:textId="77777777" w:rsidR="00253541" w:rsidRPr="00901249" w:rsidRDefault="00253541" w:rsidP="00873A42">
            <w:pPr>
              <w:rPr>
                <w:sz w:val="14"/>
                <w:szCs w:val="14"/>
              </w:rPr>
            </w:pPr>
            <w:r w:rsidRPr="00901249">
              <w:rPr>
                <w:sz w:val="14"/>
                <w:szCs w:val="14"/>
              </w:rPr>
              <w:t>Annual # of Trans</w:t>
            </w:r>
            <w:r>
              <w:rPr>
                <w:sz w:val="14"/>
                <w:szCs w:val="14"/>
              </w:rPr>
              <w:t xml:space="preserve">itional Housing Clients </w:t>
            </w:r>
            <w:r w:rsidRPr="00873A42">
              <w:rPr>
                <w:b/>
                <w:sz w:val="14"/>
                <w:szCs w:val="14"/>
              </w:rPr>
              <w:t>Unique Individuals</w:t>
            </w:r>
          </w:p>
        </w:tc>
        <w:tc>
          <w:tcPr>
            <w:tcW w:w="1134" w:type="dxa"/>
          </w:tcPr>
          <w:p w14:paraId="71E20AD5" w14:textId="77777777" w:rsidR="00253541" w:rsidRPr="00901249" w:rsidRDefault="00253541" w:rsidP="00873A42">
            <w:pPr>
              <w:rPr>
                <w:sz w:val="14"/>
                <w:szCs w:val="14"/>
              </w:rPr>
            </w:pPr>
            <w:r w:rsidRPr="00901249">
              <w:rPr>
                <w:sz w:val="14"/>
                <w:szCs w:val="14"/>
              </w:rPr>
              <w:t>Shelter &amp; Transitional Housing User Annually as % of Community Total Population</w:t>
            </w:r>
          </w:p>
        </w:tc>
        <w:tc>
          <w:tcPr>
            <w:tcW w:w="851" w:type="dxa"/>
          </w:tcPr>
          <w:p w14:paraId="07C67709" w14:textId="77777777" w:rsidR="00253541" w:rsidRPr="00901249" w:rsidRDefault="00253541" w:rsidP="00873A42">
            <w:pPr>
              <w:rPr>
                <w:sz w:val="14"/>
                <w:szCs w:val="14"/>
              </w:rPr>
            </w:pPr>
            <w:r w:rsidRPr="00901249">
              <w:rPr>
                <w:sz w:val="14"/>
                <w:szCs w:val="14"/>
              </w:rPr>
              <w:t xml:space="preserve">% homeless who are Aboriginal </w:t>
            </w:r>
          </w:p>
        </w:tc>
        <w:tc>
          <w:tcPr>
            <w:tcW w:w="850" w:type="dxa"/>
          </w:tcPr>
          <w:p w14:paraId="63D13CCE" w14:textId="77777777" w:rsidR="00253541" w:rsidRPr="00901249" w:rsidRDefault="00253541" w:rsidP="00873A42">
            <w:pPr>
              <w:rPr>
                <w:sz w:val="14"/>
                <w:szCs w:val="14"/>
              </w:rPr>
            </w:pPr>
            <w:r w:rsidRPr="00901249">
              <w:rPr>
                <w:sz w:val="14"/>
                <w:szCs w:val="14"/>
              </w:rPr>
              <w:t>% home</w:t>
            </w:r>
            <w:r>
              <w:rPr>
                <w:sz w:val="14"/>
                <w:szCs w:val="14"/>
              </w:rPr>
              <w:t>-</w:t>
            </w:r>
            <w:r w:rsidRPr="00901249">
              <w:rPr>
                <w:sz w:val="14"/>
                <w:szCs w:val="14"/>
              </w:rPr>
              <w:t>less who are Youth</w:t>
            </w:r>
          </w:p>
        </w:tc>
        <w:tc>
          <w:tcPr>
            <w:tcW w:w="851" w:type="dxa"/>
          </w:tcPr>
          <w:p w14:paraId="6D168EF0" w14:textId="77777777" w:rsidR="00253541" w:rsidRPr="00901249" w:rsidRDefault="00253541" w:rsidP="00873A42">
            <w:pPr>
              <w:rPr>
                <w:sz w:val="14"/>
                <w:szCs w:val="14"/>
              </w:rPr>
            </w:pPr>
            <w:r w:rsidRPr="00901249">
              <w:rPr>
                <w:sz w:val="14"/>
                <w:szCs w:val="14"/>
              </w:rPr>
              <w:t>% home</w:t>
            </w:r>
            <w:r>
              <w:rPr>
                <w:sz w:val="14"/>
                <w:szCs w:val="14"/>
              </w:rPr>
              <w:t>-</w:t>
            </w:r>
            <w:r w:rsidRPr="00901249">
              <w:rPr>
                <w:sz w:val="14"/>
                <w:szCs w:val="14"/>
              </w:rPr>
              <w:t>less who are Women</w:t>
            </w:r>
          </w:p>
        </w:tc>
        <w:tc>
          <w:tcPr>
            <w:tcW w:w="992" w:type="dxa"/>
          </w:tcPr>
          <w:p w14:paraId="157680CE" w14:textId="77777777" w:rsidR="00253541" w:rsidRPr="00901249" w:rsidRDefault="00253541" w:rsidP="00873A42">
            <w:pPr>
              <w:rPr>
                <w:sz w:val="14"/>
                <w:szCs w:val="14"/>
              </w:rPr>
            </w:pPr>
            <w:r w:rsidRPr="00901249">
              <w:rPr>
                <w:sz w:val="14"/>
                <w:szCs w:val="14"/>
              </w:rPr>
              <w:t># Households paying 50%+ income on shelter</w:t>
            </w:r>
          </w:p>
        </w:tc>
        <w:tc>
          <w:tcPr>
            <w:tcW w:w="992" w:type="dxa"/>
          </w:tcPr>
          <w:p w14:paraId="7E381CCC" w14:textId="77777777" w:rsidR="00253541" w:rsidRPr="00901249" w:rsidRDefault="00253541" w:rsidP="00873A42">
            <w:pPr>
              <w:rPr>
                <w:sz w:val="14"/>
                <w:szCs w:val="14"/>
              </w:rPr>
            </w:pPr>
            <w:r w:rsidRPr="00901249">
              <w:rPr>
                <w:sz w:val="14"/>
                <w:szCs w:val="14"/>
              </w:rPr>
              <w:t>Total Rental Stock in Community</w:t>
            </w:r>
          </w:p>
        </w:tc>
        <w:tc>
          <w:tcPr>
            <w:tcW w:w="851" w:type="dxa"/>
          </w:tcPr>
          <w:p w14:paraId="49B5C6A1" w14:textId="77777777" w:rsidR="00253541" w:rsidRPr="00901249" w:rsidRDefault="00253541" w:rsidP="00873A42">
            <w:pPr>
              <w:rPr>
                <w:sz w:val="14"/>
                <w:szCs w:val="14"/>
              </w:rPr>
            </w:pPr>
            <w:r w:rsidRPr="00901249">
              <w:rPr>
                <w:sz w:val="14"/>
                <w:szCs w:val="14"/>
              </w:rPr>
              <w:t>Vacancy Rates</w:t>
            </w:r>
          </w:p>
        </w:tc>
        <w:tc>
          <w:tcPr>
            <w:tcW w:w="709" w:type="dxa"/>
          </w:tcPr>
          <w:p w14:paraId="5D91E687" w14:textId="77777777" w:rsidR="00253541" w:rsidRPr="00901249" w:rsidRDefault="00253541" w:rsidP="00873A42">
            <w:pPr>
              <w:rPr>
                <w:sz w:val="14"/>
                <w:szCs w:val="14"/>
              </w:rPr>
            </w:pPr>
            <w:r w:rsidRPr="00901249">
              <w:rPr>
                <w:sz w:val="14"/>
                <w:szCs w:val="14"/>
              </w:rPr>
              <w:t># Vacant Units</w:t>
            </w:r>
          </w:p>
        </w:tc>
      </w:tr>
      <w:tr w:rsidR="00253541" w:rsidRPr="00901249" w14:paraId="6F9D230D" w14:textId="77777777" w:rsidTr="00253541">
        <w:trPr>
          <w:trHeight w:val="165"/>
        </w:trPr>
        <w:tc>
          <w:tcPr>
            <w:tcW w:w="851" w:type="dxa"/>
          </w:tcPr>
          <w:p w14:paraId="29FC0D74" w14:textId="77777777" w:rsidR="00253541" w:rsidRPr="00901249" w:rsidRDefault="00253541" w:rsidP="00873A42">
            <w:pPr>
              <w:rPr>
                <w:sz w:val="14"/>
                <w:szCs w:val="14"/>
              </w:rPr>
            </w:pPr>
            <w:r>
              <w:rPr>
                <w:sz w:val="14"/>
                <w:szCs w:val="14"/>
              </w:rPr>
              <w:t>Number</w:t>
            </w:r>
          </w:p>
        </w:tc>
        <w:tc>
          <w:tcPr>
            <w:tcW w:w="850" w:type="dxa"/>
          </w:tcPr>
          <w:p w14:paraId="4BFF9CCD" w14:textId="77777777" w:rsidR="00253541" w:rsidRPr="00901249" w:rsidRDefault="00253541" w:rsidP="00873A42">
            <w:pPr>
              <w:rPr>
                <w:sz w:val="14"/>
                <w:szCs w:val="14"/>
              </w:rPr>
            </w:pPr>
          </w:p>
        </w:tc>
        <w:tc>
          <w:tcPr>
            <w:tcW w:w="850" w:type="dxa"/>
          </w:tcPr>
          <w:p w14:paraId="459CE060" w14:textId="3EE400CD" w:rsidR="00253541" w:rsidRPr="00901249" w:rsidRDefault="00253541" w:rsidP="00873A42">
            <w:pPr>
              <w:rPr>
                <w:sz w:val="14"/>
                <w:szCs w:val="14"/>
              </w:rPr>
            </w:pPr>
          </w:p>
        </w:tc>
        <w:tc>
          <w:tcPr>
            <w:tcW w:w="851" w:type="dxa"/>
          </w:tcPr>
          <w:p w14:paraId="2E58966C" w14:textId="77777777" w:rsidR="00253541" w:rsidRPr="00901249" w:rsidRDefault="00253541" w:rsidP="00873A42">
            <w:pPr>
              <w:rPr>
                <w:sz w:val="14"/>
                <w:szCs w:val="14"/>
              </w:rPr>
            </w:pPr>
          </w:p>
        </w:tc>
        <w:tc>
          <w:tcPr>
            <w:tcW w:w="992" w:type="dxa"/>
          </w:tcPr>
          <w:p w14:paraId="178F7505" w14:textId="77777777" w:rsidR="00253541" w:rsidRPr="00901249" w:rsidRDefault="00253541" w:rsidP="00873A42">
            <w:pPr>
              <w:rPr>
                <w:sz w:val="14"/>
                <w:szCs w:val="14"/>
              </w:rPr>
            </w:pPr>
          </w:p>
        </w:tc>
        <w:tc>
          <w:tcPr>
            <w:tcW w:w="1134" w:type="dxa"/>
          </w:tcPr>
          <w:p w14:paraId="7588F4BD" w14:textId="77777777" w:rsidR="00253541" w:rsidRPr="00901249" w:rsidRDefault="00253541" w:rsidP="00873A42">
            <w:pPr>
              <w:rPr>
                <w:sz w:val="14"/>
                <w:szCs w:val="14"/>
              </w:rPr>
            </w:pPr>
          </w:p>
        </w:tc>
        <w:tc>
          <w:tcPr>
            <w:tcW w:w="1134" w:type="dxa"/>
          </w:tcPr>
          <w:p w14:paraId="2221F225" w14:textId="77777777" w:rsidR="00253541" w:rsidRPr="00901249" w:rsidRDefault="00253541" w:rsidP="00873A42">
            <w:pPr>
              <w:rPr>
                <w:sz w:val="14"/>
                <w:szCs w:val="14"/>
              </w:rPr>
            </w:pPr>
          </w:p>
        </w:tc>
        <w:tc>
          <w:tcPr>
            <w:tcW w:w="1134" w:type="dxa"/>
          </w:tcPr>
          <w:p w14:paraId="0B53361C" w14:textId="77777777" w:rsidR="00253541" w:rsidRPr="00901249" w:rsidRDefault="00253541" w:rsidP="00873A42">
            <w:pPr>
              <w:rPr>
                <w:sz w:val="14"/>
                <w:szCs w:val="14"/>
              </w:rPr>
            </w:pPr>
          </w:p>
        </w:tc>
        <w:tc>
          <w:tcPr>
            <w:tcW w:w="1134" w:type="dxa"/>
          </w:tcPr>
          <w:p w14:paraId="124F7A49" w14:textId="77777777" w:rsidR="00253541" w:rsidRPr="00901249" w:rsidRDefault="00253541" w:rsidP="00873A42">
            <w:pPr>
              <w:rPr>
                <w:sz w:val="14"/>
                <w:szCs w:val="14"/>
              </w:rPr>
            </w:pPr>
          </w:p>
        </w:tc>
        <w:tc>
          <w:tcPr>
            <w:tcW w:w="992" w:type="dxa"/>
          </w:tcPr>
          <w:p w14:paraId="0E12F925" w14:textId="77777777" w:rsidR="00253541" w:rsidRPr="00901249" w:rsidRDefault="00253541" w:rsidP="00873A42">
            <w:pPr>
              <w:rPr>
                <w:sz w:val="14"/>
                <w:szCs w:val="14"/>
              </w:rPr>
            </w:pPr>
          </w:p>
        </w:tc>
        <w:tc>
          <w:tcPr>
            <w:tcW w:w="1134" w:type="dxa"/>
          </w:tcPr>
          <w:p w14:paraId="08ECC3E1" w14:textId="77777777" w:rsidR="00253541" w:rsidRPr="00901249" w:rsidRDefault="00253541" w:rsidP="00873A42">
            <w:pPr>
              <w:rPr>
                <w:sz w:val="14"/>
                <w:szCs w:val="14"/>
              </w:rPr>
            </w:pPr>
          </w:p>
        </w:tc>
        <w:tc>
          <w:tcPr>
            <w:tcW w:w="1134" w:type="dxa"/>
          </w:tcPr>
          <w:p w14:paraId="7E23547E" w14:textId="77777777" w:rsidR="00253541" w:rsidRPr="00901249" w:rsidRDefault="00253541" w:rsidP="00873A42">
            <w:pPr>
              <w:rPr>
                <w:sz w:val="14"/>
                <w:szCs w:val="14"/>
              </w:rPr>
            </w:pPr>
          </w:p>
        </w:tc>
        <w:tc>
          <w:tcPr>
            <w:tcW w:w="851" w:type="dxa"/>
          </w:tcPr>
          <w:p w14:paraId="2C6D6A19" w14:textId="77777777" w:rsidR="00253541" w:rsidRPr="00901249" w:rsidRDefault="00253541" w:rsidP="00873A42">
            <w:pPr>
              <w:rPr>
                <w:sz w:val="14"/>
                <w:szCs w:val="14"/>
              </w:rPr>
            </w:pPr>
          </w:p>
        </w:tc>
        <w:tc>
          <w:tcPr>
            <w:tcW w:w="850" w:type="dxa"/>
          </w:tcPr>
          <w:p w14:paraId="7C8C1287" w14:textId="77777777" w:rsidR="00253541" w:rsidRPr="00901249" w:rsidRDefault="00253541" w:rsidP="00873A42">
            <w:pPr>
              <w:rPr>
                <w:sz w:val="14"/>
                <w:szCs w:val="14"/>
              </w:rPr>
            </w:pPr>
          </w:p>
        </w:tc>
        <w:tc>
          <w:tcPr>
            <w:tcW w:w="851" w:type="dxa"/>
          </w:tcPr>
          <w:p w14:paraId="24AFAFE5" w14:textId="77777777" w:rsidR="00253541" w:rsidRPr="00901249" w:rsidRDefault="00253541" w:rsidP="00873A42">
            <w:pPr>
              <w:rPr>
                <w:sz w:val="14"/>
                <w:szCs w:val="14"/>
              </w:rPr>
            </w:pPr>
          </w:p>
        </w:tc>
        <w:tc>
          <w:tcPr>
            <w:tcW w:w="992" w:type="dxa"/>
          </w:tcPr>
          <w:p w14:paraId="02FB9892" w14:textId="77777777" w:rsidR="00253541" w:rsidRPr="00901249" w:rsidRDefault="00253541" w:rsidP="00873A42">
            <w:pPr>
              <w:rPr>
                <w:sz w:val="14"/>
                <w:szCs w:val="14"/>
              </w:rPr>
            </w:pPr>
          </w:p>
        </w:tc>
        <w:tc>
          <w:tcPr>
            <w:tcW w:w="992" w:type="dxa"/>
          </w:tcPr>
          <w:p w14:paraId="0918CB3F" w14:textId="77777777" w:rsidR="00253541" w:rsidRPr="00901249" w:rsidRDefault="00253541" w:rsidP="00873A42">
            <w:pPr>
              <w:rPr>
                <w:sz w:val="14"/>
                <w:szCs w:val="14"/>
              </w:rPr>
            </w:pPr>
          </w:p>
        </w:tc>
        <w:tc>
          <w:tcPr>
            <w:tcW w:w="851" w:type="dxa"/>
          </w:tcPr>
          <w:p w14:paraId="1739D7D4" w14:textId="77777777" w:rsidR="00253541" w:rsidRPr="00901249" w:rsidRDefault="00253541" w:rsidP="00873A42">
            <w:pPr>
              <w:rPr>
                <w:sz w:val="14"/>
                <w:szCs w:val="14"/>
              </w:rPr>
            </w:pPr>
          </w:p>
        </w:tc>
        <w:tc>
          <w:tcPr>
            <w:tcW w:w="709" w:type="dxa"/>
          </w:tcPr>
          <w:p w14:paraId="2119A35E" w14:textId="77777777" w:rsidR="00253541" w:rsidRPr="00901249" w:rsidRDefault="00253541" w:rsidP="00873A42">
            <w:pPr>
              <w:rPr>
                <w:sz w:val="14"/>
                <w:szCs w:val="14"/>
              </w:rPr>
            </w:pPr>
          </w:p>
        </w:tc>
      </w:tr>
      <w:tr w:rsidR="00253541" w:rsidRPr="00901249" w14:paraId="20FD8CDC" w14:textId="77777777" w:rsidTr="00253541">
        <w:trPr>
          <w:trHeight w:val="165"/>
        </w:trPr>
        <w:tc>
          <w:tcPr>
            <w:tcW w:w="851" w:type="dxa"/>
          </w:tcPr>
          <w:p w14:paraId="7A56A05E" w14:textId="77777777" w:rsidR="00253541" w:rsidRPr="00901249" w:rsidRDefault="00253541" w:rsidP="00873A42">
            <w:pPr>
              <w:rPr>
                <w:sz w:val="14"/>
                <w:szCs w:val="14"/>
              </w:rPr>
            </w:pPr>
            <w:r w:rsidRPr="00901249">
              <w:rPr>
                <w:sz w:val="14"/>
                <w:szCs w:val="14"/>
              </w:rPr>
              <w:t>Source</w:t>
            </w:r>
            <w:r>
              <w:rPr>
                <w:sz w:val="14"/>
                <w:szCs w:val="14"/>
              </w:rPr>
              <w:t xml:space="preserve"> (note if not available)</w:t>
            </w:r>
          </w:p>
        </w:tc>
        <w:tc>
          <w:tcPr>
            <w:tcW w:w="850" w:type="dxa"/>
          </w:tcPr>
          <w:p w14:paraId="38B56661" w14:textId="77777777" w:rsidR="00253541" w:rsidRPr="00901249" w:rsidRDefault="00253541" w:rsidP="00873A42">
            <w:pPr>
              <w:rPr>
                <w:sz w:val="14"/>
                <w:szCs w:val="14"/>
              </w:rPr>
            </w:pPr>
          </w:p>
        </w:tc>
        <w:tc>
          <w:tcPr>
            <w:tcW w:w="850" w:type="dxa"/>
          </w:tcPr>
          <w:p w14:paraId="68533B4B" w14:textId="282F46A1" w:rsidR="00253541" w:rsidRPr="00901249" w:rsidRDefault="00253541" w:rsidP="00873A42">
            <w:pPr>
              <w:rPr>
                <w:sz w:val="14"/>
                <w:szCs w:val="14"/>
              </w:rPr>
            </w:pPr>
          </w:p>
        </w:tc>
        <w:tc>
          <w:tcPr>
            <w:tcW w:w="851" w:type="dxa"/>
          </w:tcPr>
          <w:p w14:paraId="5C16A3E8" w14:textId="77777777" w:rsidR="00253541" w:rsidRPr="00901249" w:rsidRDefault="00253541" w:rsidP="00873A42">
            <w:pPr>
              <w:rPr>
                <w:sz w:val="14"/>
                <w:szCs w:val="14"/>
              </w:rPr>
            </w:pPr>
            <w:bookmarkStart w:id="0" w:name="_GoBack"/>
            <w:bookmarkEnd w:id="0"/>
          </w:p>
        </w:tc>
        <w:tc>
          <w:tcPr>
            <w:tcW w:w="992" w:type="dxa"/>
          </w:tcPr>
          <w:p w14:paraId="6B9AD831" w14:textId="77777777" w:rsidR="00253541" w:rsidRPr="00901249" w:rsidRDefault="00253541" w:rsidP="00873A42">
            <w:pPr>
              <w:rPr>
                <w:sz w:val="14"/>
                <w:szCs w:val="14"/>
              </w:rPr>
            </w:pPr>
          </w:p>
        </w:tc>
        <w:tc>
          <w:tcPr>
            <w:tcW w:w="1134" w:type="dxa"/>
          </w:tcPr>
          <w:p w14:paraId="2E64B2A2" w14:textId="77777777" w:rsidR="00253541" w:rsidRPr="00901249" w:rsidRDefault="00253541" w:rsidP="00873A42">
            <w:pPr>
              <w:rPr>
                <w:sz w:val="14"/>
                <w:szCs w:val="14"/>
              </w:rPr>
            </w:pPr>
          </w:p>
        </w:tc>
        <w:tc>
          <w:tcPr>
            <w:tcW w:w="1134" w:type="dxa"/>
          </w:tcPr>
          <w:p w14:paraId="6825BACE" w14:textId="77777777" w:rsidR="00253541" w:rsidRPr="00901249" w:rsidRDefault="00253541" w:rsidP="00873A42">
            <w:pPr>
              <w:rPr>
                <w:sz w:val="14"/>
                <w:szCs w:val="14"/>
              </w:rPr>
            </w:pPr>
          </w:p>
        </w:tc>
        <w:tc>
          <w:tcPr>
            <w:tcW w:w="1134" w:type="dxa"/>
          </w:tcPr>
          <w:p w14:paraId="0A7C5565" w14:textId="77777777" w:rsidR="00253541" w:rsidRPr="00901249" w:rsidRDefault="00253541" w:rsidP="00873A42">
            <w:pPr>
              <w:rPr>
                <w:sz w:val="14"/>
                <w:szCs w:val="14"/>
              </w:rPr>
            </w:pPr>
          </w:p>
        </w:tc>
        <w:tc>
          <w:tcPr>
            <w:tcW w:w="1134" w:type="dxa"/>
          </w:tcPr>
          <w:p w14:paraId="5EE4AE06" w14:textId="77777777" w:rsidR="00253541" w:rsidRPr="00901249" w:rsidRDefault="00253541" w:rsidP="00873A42">
            <w:pPr>
              <w:rPr>
                <w:sz w:val="14"/>
                <w:szCs w:val="14"/>
              </w:rPr>
            </w:pPr>
          </w:p>
        </w:tc>
        <w:tc>
          <w:tcPr>
            <w:tcW w:w="992" w:type="dxa"/>
          </w:tcPr>
          <w:p w14:paraId="05F50E13" w14:textId="77777777" w:rsidR="00253541" w:rsidRPr="00901249" w:rsidRDefault="00253541" w:rsidP="00873A42">
            <w:pPr>
              <w:rPr>
                <w:sz w:val="14"/>
                <w:szCs w:val="14"/>
              </w:rPr>
            </w:pPr>
          </w:p>
        </w:tc>
        <w:tc>
          <w:tcPr>
            <w:tcW w:w="1134" w:type="dxa"/>
          </w:tcPr>
          <w:p w14:paraId="2529A5FA" w14:textId="77777777" w:rsidR="00253541" w:rsidRPr="00901249" w:rsidRDefault="00253541" w:rsidP="00873A42">
            <w:pPr>
              <w:rPr>
                <w:sz w:val="14"/>
                <w:szCs w:val="14"/>
              </w:rPr>
            </w:pPr>
          </w:p>
        </w:tc>
        <w:tc>
          <w:tcPr>
            <w:tcW w:w="1134" w:type="dxa"/>
          </w:tcPr>
          <w:p w14:paraId="49D12EB4" w14:textId="77777777" w:rsidR="00253541" w:rsidRPr="00901249" w:rsidRDefault="00253541" w:rsidP="00873A42">
            <w:pPr>
              <w:rPr>
                <w:sz w:val="14"/>
                <w:szCs w:val="14"/>
              </w:rPr>
            </w:pPr>
          </w:p>
        </w:tc>
        <w:tc>
          <w:tcPr>
            <w:tcW w:w="851" w:type="dxa"/>
          </w:tcPr>
          <w:p w14:paraId="78F982C8" w14:textId="77777777" w:rsidR="00253541" w:rsidRPr="00901249" w:rsidRDefault="00253541" w:rsidP="00873A42">
            <w:pPr>
              <w:rPr>
                <w:sz w:val="14"/>
                <w:szCs w:val="14"/>
              </w:rPr>
            </w:pPr>
          </w:p>
        </w:tc>
        <w:tc>
          <w:tcPr>
            <w:tcW w:w="850" w:type="dxa"/>
          </w:tcPr>
          <w:p w14:paraId="171B393B" w14:textId="77777777" w:rsidR="00253541" w:rsidRPr="00901249" w:rsidRDefault="00253541" w:rsidP="00873A42">
            <w:pPr>
              <w:rPr>
                <w:sz w:val="14"/>
                <w:szCs w:val="14"/>
              </w:rPr>
            </w:pPr>
          </w:p>
        </w:tc>
        <w:tc>
          <w:tcPr>
            <w:tcW w:w="851" w:type="dxa"/>
          </w:tcPr>
          <w:p w14:paraId="0A6F489B" w14:textId="77777777" w:rsidR="00253541" w:rsidRPr="00901249" w:rsidRDefault="00253541" w:rsidP="00873A42">
            <w:pPr>
              <w:rPr>
                <w:sz w:val="14"/>
                <w:szCs w:val="14"/>
              </w:rPr>
            </w:pPr>
          </w:p>
        </w:tc>
        <w:tc>
          <w:tcPr>
            <w:tcW w:w="992" w:type="dxa"/>
          </w:tcPr>
          <w:p w14:paraId="6A411050" w14:textId="77777777" w:rsidR="00253541" w:rsidRPr="00901249" w:rsidRDefault="00253541" w:rsidP="00873A42">
            <w:pPr>
              <w:rPr>
                <w:sz w:val="14"/>
                <w:szCs w:val="14"/>
              </w:rPr>
            </w:pPr>
          </w:p>
        </w:tc>
        <w:tc>
          <w:tcPr>
            <w:tcW w:w="992" w:type="dxa"/>
          </w:tcPr>
          <w:p w14:paraId="5D1BBB21" w14:textId="77777777" w:rsidR="00253541" w:rsidRPr="00901249" w:rsidRDefault="00253541" w:rsidP="00873A42">
            <w:pPr>
              <w:rPr>
                <w:sz w:val="14"/>
                <w:szCs w:val="14"/>
              </w:rPr>
            </w:pPr>
          </w:p>
        </w:tc>
        <w:tc>
          <w:tcPr>
            <w:tcW w:w="851" w:type="dxa"/>
          </w:tcPr>
          <w:p w14:paraId="0BE6DAAD" w14:textId="77777777" w:rsidR="00253541" w:rsidRPr="00901249" w:rsidRDefault="00253541" w:rsidP="00873A42">
            <w:pPr>
              <w:rPr>
                <w:sz w:val="14"/>
                <w:szCs w:val="14"/>
              </w:rPr>
            </w:pPr>
          </w:p>
        </w:tc>
        <w:tc>
          <w:tcPr>
            <w:tcW w:w="709" w:type="dxa"/>
          </w:tcPr>
          <w:p w14:paraId="325FD1BA" w14:textId="77777777" w:rsidR="00253541" w:rsidRPr="00901249" w:rsidRDefault="00253541" w:rsidP="00873A42">
            <w:pPr>
              <w:rPr>
                <w:sz w:val="14"/>
                <w:szCs w:val="14"/>
              </w:rPr>
            </w:pPr>
          </w:p>
        </w:tc>
      </w:tr>
      <w:tr w:rsidR="00253541" w:rsidRPr="00901249" w14:paraId="2C8FC61B" w14:textId="77777777" w:rsidTr="00253541">
        <w:trPr>
          <w:trHeight w:val="1329"/>
        </w:trPr>
        <w:tc>
          <w:tcPr>
            <w:tcW w:w="851" w:type="dxa"/>
          </w:tcPr>
          <w:p w14:paraId="3A11A7EB" w14:textId="77777777" w:rsidR="00253541" w:rsidRPr="00901249" w:rsidRDefault="00253541" w:rsidP="00032182">
            <w:pPr>
              <w:rPr>
                <w:sz w:val="14"/>
                <w:szCs w:val="14"/>
              </w:rPr>
            </w:pPr>
            <w:r>
              <w:rPr>
                <w:sz w:val="14"/>
                <w:szCs w:val="14"/>
              </w:rPr>
              <w:t>Notes (i.e. if one subgroup is more prevalent; vacancy differences by unit type etc.)</w:t>
            </w:r>
          </w:p>
        </w:tc>
        <w:tc>
          <w:tcPr>
            <w:tcW w:w="850" w:type="dxa"/>
          </w:tcPr>
          <w:p w14:paraId="11CEB9AC" w14:textId="77777777" w:rsidR="00253541" w:rsidRPr="00901249" w:rsidRDefault="00253541" w:rsidP="00873A42">
            <w:pPr>
              <w:rPr>
                <w:sz w:val="14"/>
                <w:szCs w:val="14"/>
              </w:rPr>
            </w:pPr>
          </w:p>
        </w:tc>
        <w:tc>
          <w:tcPr>
            <w:tcW w:w="850" w:type="dxa"/>
          </w:tcPr>
          <w:p w14:paraId="5263AD99" w14:textId="2225738D" w:rsidR="00253541" w:rsidRPr="00901249" w:rsidRDefault="00253541" w:rsidP="00873A42">
            <w:pPr>
              <w:rPr>
                <w:sz w:val="14"/>
                <w:szCs w:val="14"/>
              </w:rPr>
            </w:pPr>
          </w:p>
        </w:tc>
        <w:tc>
          <w:tcPr>
            <w:tcW w:w="851" w:type="dxa"/>
          </w:tcPr>
          <w:p w14:paraId="5507AE82" w14:textId="77777777" w:rsidR="00253541" w:rsidRPr="00901249" w:rsidRDefault="00253541" w:rsidP="00873A42">
            <w:pPr>
              <w:rPr>
                <w:sz w:val="14"/>
                <w:szCs w:val="14"/>
              </w:rPr>
            </w:pPr>
          </w:p>
        </w:tc>
        <w:tc>
          <w:tcPr>
            <w:tcW w:w="992" w:type="dxa"/>
          </w:tcPr>
          <w:p w14:paraId="22BE8898" w14:textId="77777777" w:rsidR="00253541" w:rsidRPr="00901249" w:rsidRDefault="00253541" w:rsidP="00873A42">
            <w:pPr>
              <w:rPr>
                <w:sz w:val="14"/>
                <w:szCs w:val="14"/>
              </w:rPr>
            </w:pPr>
          </w:p>
        </w:tc>
        <w:tc>
          <w:tcPr>
            <w:tcW w:w="1134" w:type="dxa"/>
          </w:tcPr>
          <w:p w14:paraId="028B011F" w14:textId="77777777" w:rsidR="00253541" w:rsidRPr="00901249" w:rsidRDefault="00253541" w:rsidP="00873A42">
            <w:pPr>
              <w:rPr>
                <w:sz w:val="14"/>
                <w:szCs w:val="14"/>
              </w:rPr>
            </w:pPr>
          </w:p>
        </w:tc>
        <w:tc>
          <w:tcPr>
            <w:tcW w:w="1134" w:type="dxa"/>
          </w:tcPr>
          <w:p w14:paraId="29B6A3D5" w14:textId="77777777" w:rsidR="00253541" w:rsidRPr="00901249" w:rsidRDefault="00253541" w:rsidP="00873A42">
            <w:pPr>
              <w:rPr>
                <w:sz w:val="14"/>
                <w:szCs w:val="14"/>
              </w:rPr>
            </w:pPr>
          </w:p>
        </w:tc>
        <w:tc>
          <w:tcPr>
            <w:tcW w:w="1134" w:type="dxa"/>
          </w:tcPr>
          <w:p w14:paraId="5EB7E43E" w14:textId="77777777" w:rsidR="00253541" w:rsidRPr="00901249" w:rsidRDefault="00253541" w:rsidP="00873A42">
            <w:pPr>
              <w:rPr>
                <w:sz w:val="14"/>
                <w:szCs w:val="14"/>
              </w:rPr>
            </w:pPr>
          </w:p>
        </w:tc>
        <w:tc>
          <w:tcPr>
            <w:tcW w:w="1134" w:type="dxa"/>
          </w:tcPr>
          <w:p w14:paraId="4FBC0267" w14:textId="77777777" w:rsidR="00253541" w:rsidRPr="00901249" w:rsidRDefault="00253541" w:rsidP="00873A42">
            <w:pPr>
              <w:rPr>
                <w:sz w:val="14"/>
                <w:szCs w:val="14"/>
              </w:rPr>
            </w:pPr>
          </w:p>
        </w:tc>
        <w:tc>
          <w:tcPr>
            <w:tcW w:w="992" w:type="dxa"/>
          </w:tcPr>
          <w:p w14:paraId="7AB50820" w14:textId="77777777" w:rsidR="00253541" w:rsidRPr="00901249" w:rsidRDefault="00253541" w:rsidP="00873A42">
            <w:pPr>
              <w:rPr>
                <w:sz w:val="14"/>
                <w:szCs w:val="14"/>
              </w:rPr>
            </w:pPr>
          </w:p>
        </w:tc>
        <w:tc>
          <w:tcPr>
            <w:tcW w:w="1134" w:type="dxa"/>
          </w:tcPr>
          <w:p w14:paraId="0E05A43F" w14:textId="77777777" w:rsidR="00253541" w:rsidRPr="00901249" w:rsidRDefault="00253541" w:rsidP="00873A42">
            <w:pPr>
              <w:rPr>
                <w:sz w:val="14"/>
                <w:szCs w:val="14"/>
              </w:rPr>
            </w:pPr>
          </w:p>
        </w:tc>
        <w:tc>
          <w:tcPr>
            <w:tcW w:w="1134" w:type="dxa"/>
          </w:tcPr>
          <w:p w14:paraId="097AB8AA" w14:textId="77777777" w:rsidR="00253541" w:rsidRPr="00901249" w:rsidRDefault="00253541" w:rsidP="00873A42">
            <w:pPr>
              <w:rPr>
                <w:sz w:val="14"/>
                <w:szCs w:val="14"/>
              </w:rPr>
            </w:pPr>
          </w:p>
        </w:tc>
        <w:tc>
          <w:tcPr>
            <w:tcW w:w="851" w:type="dxa"/>
          </w:tcPr>
          <w:p w14:paraId="440B18F1" w14:textId="77777777" w:rsidR="00253541" w:rsidRPr="00901249" w:rsidRDefault="00253541" w:rsidP="00873A42">
            <w:pPr>
              <w:rPr>
                <w:sz w:val="14"/>
                <w:szCs w:val="14"/>
              </w:rPr>
            </w:pPr>
          </w:p>
        </w:tc>
        <w:tc>
          <w:tcPr>
            <w:tcW w:w="850" w:type="dxa"/>
          </w:tcPr>
          <w:p w14:paraId="78C89E74" w14:textId="77777777" w:rsidR="00253541" w:rsidRPr="00901249" w:rsidRDefault="00253541" w:rsidP="00873A42">
            <w:pPr>
              <w:rPr>
                <w:sz w:val="14"/>
                <w:szCs w:val="14"/>
              </w:rPr>
            </w:pPr>
          </w:p>
        </w:tc>
        <w:tc>
          <w:tcPr>
            <w:tcW w:w="851" w:type="dxa"/>
          </w:tcPr>
          <w:p w14:paraId="4373BE3A" w14:textId="77777777" w:rsidR="00253541" w:rsidRPr="00901249" w:rsidRDefault="00253541" w:rsidP="00873A42">
            <w:pPr>
              <w:rPr>
                <w:sz w:val="14"/>
                <w:szCs w:val="14"/>
              </w:rPr>
            </w:pPr>
          </w:p>
        </w:tc>
        <w:tc>
          <w:tcPr>
            <w:tcW w:w="992" w:type="dxa"/>
          </w:tcPr>
          <w:p w14:paraId="4A559B19" w14:textId="77777777" w:rsidR="00253541" w:rsidRPr="00901249" w:rsidRDefault="00253541" w:rsidP="00873A42">
            <w:pPr>
              <w:rPr>
                <w:sz w:val="14"/>
                <w:szCs w:val="14"/>
              </w:rPr>
            </w:pPr>
          </w:p>
        </w:tc>
        <w:tc>
          <w:tcPr>
            <w:tcW w:w="992" w:type="dxa"/>
          </w:tcPr>
          <w:p w14:paraId="512BFABA" w14:textId="77777777" w:rsidR="00253541" w:rsidRPr="00901249" w:rsidRDefault="00253541" w:rsidP="00873A42">
            <w:pPr>
              <w:rPr>
                <w:sz w:val="14"/>
                <w:szCs w:val="14"/>
              </w:rPr>
            </w:pPr>
          </w:p>
        </w:tc>
        <w:tc>
          <w:tcPr>
            <w:tcW w:w="851" w:type="dxa"/>
          </w:tcPr>
          <w:p w14:paraId="1F3E99F3" w14:textId="77777777" w:rsidR="00253541" w:rsidRPr="00901249" w:rsidRDefault="00253541" w:rsidP="00873A42">
            <w:pPr>
              <w:rPr>
                <w:sz w:val="14"/>
                <w:szCs w:val="14"/>
              </w:rPr>
            </w:pPr>
          </w:p>
        </w:tc>
        <w:tc>
          <w:tcPr>
            <w:tcW w:w="709" w:type="dxa"/>
          </w:tcPr>
          <w:p w14:paraId="3FA4B3BA" w14:textId="77777777" w:rsidR="00253541" w:rsidRPr="00901249" w:rsidRDefault="00253541" w:rsidP="00873A42">
            <w:pPr>
              <w:rPr>
                <w:sz w:val="14"/>
                <w:szCs w:val="14"/>
              </w:rPr>
            </w:pPr>
          </w:p>
        </w:tc>
      </w:tr>
    </w:tbl>
    <w:p w14:paraId="22AFC3FD" w14:textId="77777777" w:rsidR="00901249" w:rsidRPr="00901249" w:rsidRDefault="00901249" w:rsidP="00901249">
      <w:pPr>
        <w:rPr>
          <w:sz w:val="14"/>
          <w:szCs w:val="14"/>
        </w:rPr>
      </w:pPr>
    </w:p>
    <w:sectPr w:rsidR="00901249" w:rsidRPr="00901249" w:rsidSect="00EB2F60">
      <w:pgSz w:w="20160" w:h="12240" w:orient="landscape"/>
      <w:pgMar w:top="1800" w:right="792" w:bottom="180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CA475" w14:textId="77777777" w:rsidR="000D52CF" w:rsidRDefault="000D52CF" w:rsidP="00901249">
      <w:pPr>
        <w:spacing w:after="0" w:line="240" w:lineRule="auto"/>
      </w:pPr>
      <w:r>
        <w:separator/>
      </w:r>
    </w:p>
  </w:endnote>
  <w:endnote w:type="continuationSeparator" w:id="0">
    <w:p w14:paraId="26D3712D" w14:textId="77777777" w:rsidR="000D52CF" w:rsidRDefault="000D52CF" w:rsidP="00901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C83BD" w14:textId="77777777" w:rsidR="000D52CF" w:rsidRDefault="000D52CF" w:rsidP="00901249">
      <w:pPr>
        <w:spacing w:after="0" w:line="240" w:lineRule="auto"/>
      </w:pPr>
      <w:r>
        <w:separator/>
      </w:r>
    </w:p>
  </w:footnote>
  <w:footnote w:type="continuationSeparator" w:id="0">
    <w:p w14:paraId="2728841F" w14:textId="77777777" w:rsidR="000D52CF" w:rsidRDefault="000D52CF" w:rsidP="00901249">
      <w:pPr>
        <w:spacing w:after="0" w:line="240" w:lineRule="auto"/>
      </w:pPr>
      <w:r>
        <w:continuationSeparator/>
      </w:r>
    </w:p>
  </w:footnote>
  <w:footnote w:id="1">
    <w:p w14:paraId="0F7CB66F" w14:textId="77777777" w:rsidR="00253541" w:rsidRPr="00032182" w:rsidRDefault="00253541" w:rsidP="00901249">
      <w:pPr>
        <w:pStyle w:val="EndnoteText"/>
        <w:rPr>
          <w:sz w:val="16"/>
          <w:szCs w:val="16"/>
          <w:lang w:val="en-US"/>
        </w:rPr>
      </w:pPr>
      <w:r w:rsidRPr="00032182">
        <w:rPr>
          <w:rStyle w:val="FootnoteReference"/>
          <w:sz w:val="16"/>
          <w:szCs w:val="16"/>
        </w:rPr>
        <w:footnoteRef/>
      </w:r>
      <w:r w:rsidRPr="00032182">
        <w:rPr>
          <w:sz w:val="16"/>
          <w:szCs w:val="16"/>
        </w:rPr>
        <w:t xml:space="preserve"> </w:t>
      </w:r>
      <w:r w:rsidRPr="00032182">
        <w:rPr>
          <w:sz w:val="16"/>
          <w:szCs w:val="16"/>
          <w:lang w:val="en"/>
        </w:rPr>
        <w:t xml:space="preserve">Homelessness Partnering Strategy </w:t>
      </w:r>
      <w:r w:rsidRPr="00032182">
        <w:rPr>
          <w:sz w:val="16"/>
          <w:szCs w:val="16"/>
          <w:lang w:val="en-US"/>
        </w:rPr>
        <w:t xml:space="preserve">(2014) </w:t>
      </w:r>
      <w:r w:rsidRPr="00032182">
        <w:rPr>
          <w:sz w:val="16"/>
          <w:szCs w:val="16"/>
          <w:lang w:val="en"/>
        </w:rPr>
        <w:t xml:space="preserve">Homelessness Partnering Strategy Directives 2014-2019 - Directive 1: Chronically and Episodically homeless populations </w:t>
      </w:r>
      <w:r w:rsidRPr="00032182">
        <w:rPr>
          <w:sz w:val="16"/>
          <w:szCs w:val="16"/>
          <w:lang w:val="en-US"/>
        </w:rPr>
        <w:t xml:space="preserve">definition of chronic and episodic. Available online at: http://www.esdc.gc.ca/eng/communities/homelessness/funding/directives.shtml#d1. </w:t>
      </w:r>
    </w:p>
    <w:p w14:paraId="3E6F6E41" w14:textId="77777777" w:rsidR="00253541" w:rsidRPr="00032182" w:rsidRDefault="00253541" w:rsidP="00901249">
      <w:pPr>
        <w:pStyle w:val="EndnoteText"/>
        <w:rPr>
          <w:rFonts w:cstheme="majorHAnsi"/>
          <w:sz w:val="16"/>
          <w:szCs w:val="16"/>
          <w:lang w:val="en-US"/>
        </w:rPr>
      </w:pPr>
    </w:p>
    <w:p w14:paraId="53E59AB7" w14:textId="77777777" w:rsidR="00253541" w:rsidRPr="00032182" w:rsidRDefault="00253541" w:rsidP="00901249">
      <w:pPr>
        <w:pStyle w:val="EndnoteText"/>
        <w:rPr>
          <w:rFonts w:cstheme="majorHAnsi"/>
          <w:sz w:val="16"/>
          <w:szCs w:val="16"/>
          <w:lang w:val="en-US"/>
        </w:rPr>
      </w:pPr>
      <w:r w:rsidRPr="00032182">
        <w:rPr>
          <w:rFonts w:cstheme="majorHAnsi"/>
          <w:sz w:val="16"/>
          <w:szCs w:val="16"/>
          <w:lang w:val="en-US"/>
        </w:rPr>
        <w:t>Also see the Canadian Homelessness Research Network’s review of chronic, episodic, and transitional definitions internationally online at: http://www.homelesshub.ca/sites/default/files/BackgroundCHRNhomelessdefinition.pdf Canadian Definition of Homelessness: What’s being done in Canada &amp; elsewhere? (2012)</w:t>
      </w:r>
    </w:p>
    <w:p w14:paraId="2A6D35EC" w14:textId="77777777" w:rsidR="00253541" w:rsidRPr="00032182" w:rsidRDefault="00253541" w:rsidP="00901249">
      <w:pPr>
        <w:pStyle w:val="FootnoteText"/>
        <w:rPr>
          <w:sz w:val="16"/>
          <w:szCs w:val="16"/>
          <w:lang w:val="en-US"/>
        </w:rPr>
      </w:pPr>
    </w:p>
  </w:footnote>
  <w:footnote w:id="2">
    <w:p w14:paraId="3ABA779A" w14:textId="77777777" w:rsidR="00253541" w:rsidRPr="00032182" w:rsidRDefault="00253541" w:rsidP="00EB2F60">
      <w:pPr>
        <w:pStyle w:val="EndnoteText"/>
        <w:rPr>
          <w:sz w:val="16"/>
          <w:szCs w:val="16"/>
          <w:lang w:val="en-US"/>
        </w:rPr>
      </w:pPr>
      <w:r w:rsidRPr="00032182">
        <w:rPr>
          <w:rStyle w:val="FootnoteReference"/>
          <w:sz w:val="16"/>
          <w:szCs w:val="16"/>
        </w:rPr>
        <w:footnoteRef/>
      </w:r>
      <w:r w:rsidRPr="00032182">
        <w:rPr>
          <w:sz w:val="16"/>
          <w:szCs w:val="16"/>
        </w:rPr>
        <w:t xml:space="preserve"> </w:t>
      </w:r>
      <w:r w:rsidRPr="00032182">
        <w:rPr>
          <w:sz w:val="16"/>
          <w:szCs w:val="16"/>
          <w:lang w:val="en"/>
        </w:rPr>
        <w:t xml:space="preserve">Homelessness Partnering Strategy </w:t>
      </w:r>
      <w:r w:rsidRPr="00032182">
        <w:rPr>
          <w:sz w:val="16"/>
          <w:szCs w:val="16"/>
          <w:lang w:val="en-US"/>
        </w:rPr>
        <w:t xml:space="preserve">(2014) </w:t>
      </w:r>
      <w:r w:rsidRPr="00032182">
        <w:rPr>
          <w:sz w:val="16"/>
          <w:szCs w:val="16"/>
          <w:lang w:val="en"/>
        </w:rPr>
        <w:t xml:space="preserve">Homelessness Partnering Strategy Directives 2014-2019 - Directive 1: Chronically and Episodically homeless populations </w:t>
      </w:r>
      <w:r w:rsidRPr="00032182">
        <w:rPr>
          <w:sz w:val="16"/>
          <w:szCs w:val="16"/>
          <w:lang w:val="en-US"/>
        </w:rPr>
        <w:t xml:space="preserve">definition of chronic and episodic. Available online at: http://www.esdc.gc.ca/eng/communities/homelessness/funding/directives.shtml#d1. </w:t>
      </w:r>
    </w:p>
    <w:p w14:paraId="1E8B12C2" w14:textId="77777777" w:rsidR="00253541" w:rsidRPr="00032182" w:rsidRDefault="00253541" w:rsidP="00EB2F60">
      <w:pPr>
        <w:pStyle w:val="EndnoteText"/>
        <w:rPr>
          <w:rFonts w:cstheme="majorHAnsi"/>
          <w:sz w:val="16"/>
          <w:szCs w:val="16"/>
          <w:lang w:val="en-US"/>
        </w:rPr>
      </w:pPr>
    </w:p>
    <w:p w14:paraId="585B5EB6" w14:textId="77777777" w:rsidR="00253541" w:rsidRPr="00032182" w:rsidRDefault="00253541" w:rsidP="00032182">
      <w:pPr>
        <w:pStyle w:val="EndnoteText"/>
        <w:rPr>
          <w:rFonts w:cstheme="majorHAnsi"/>
          <w:sz w:val="16"/>
          <w:szCs w:val="16"/>
          <w:lang w:val="en-US"/>
        </w:rPr>
      </w:pPr>
      <w:r w:rsidRPr="00032182">
        <w:rPr>
          <w:rFonts w:cstheme="majorHAnsi"/>
          <w:sz w:val="16"/>
          <w:szCs w:val="16"/>
          <w:lang w:val="en-US"/>
        </w:rPr>
        <w:t>Also see the Canadian Homelessness Research Network’s review of chronic, episodic, and transitional definitions internationally online at: http://www.homelesshub.ca/sites/default/files/BackgroundCHRNhomelessdefinition.pdf Canadian Definition of Homelessness: What’s being done in Canada &amp; elsewhere?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49"/>
    <w:rsid w:val="00032182"/>
    <w:rsid w:val="000D52CF"/>
    <w:rsid w:val="00217B81"/>
    <w:rsid w:val="00253541"/>
    <w:rsid w:val="00873A42"/>
    <w:rsid w:val="00901249"/>
    <w:rsid w:val="00A81B30"/>
    <w:rsid w:val="00D24080"/>
    <w:rsid w:val="00EB2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422350"/>
  <w14:defaultImageDpi w14:val="300"/>
  <w15:docId w15:val="{3EB163C6-11A3-4C32-BF65-BBB799A4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1249"/>
    <w:pPr>
      <w:spacing w:after="160" w:line="259" w:lineRule="auto"/>
    </w:pPr>
    <w:rPr>
      <w:rFonts w:eastAsiaTheme="minorHAnsi"/>
      <w:sz w:val="22"/>
      <w:szCs w:val="22"/>
      <w:lang w:val="en-CA"/>
    </w:rPr>
  </w:style>
  <w:style w:type="paragraph" w:styleId="Heading1">
    <w:name w:val="heading 1"/>
    <w:basedOn w:val="Normal"/>
    <w:next w:val="Normal"/>
    <w:link w:val="Heading1Char"/>
    <w:uiPriority w:val="9"/>
    <w:qFormat/>
    <w:rsid w:val="009012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249"/>
    <w:rPr>
      <w:rFonts w:asciiTheme="majorHAnsi" w:eastAsiaTheme="majorEastAsia" w:hAnsiTheme="majorHAnsi" w:cstheme="majorBidi"/>
      <w:color w:val="365F91" w:themeColor="accent1" w:themeShade="BF"/>
      <w:sz w:val="32"/>
      <w:szCs w:val="32"/>
      <w:lang w:val="en-CA"/>
    </w:rPr>
  </w:style>
  <w:style w:type="table" w:customStyle="1" w:styleId="TableGridLight1">
    <w:name w:val="Table Grid Light1"/>
    <w:basedOn w:val="TableNormal"/>
    <w:uiPriority w:val="40"/>
    <w:rsid w:val="00901249"/>
    <w:rPr>
      <w:rFonts w:eastAsiaTheme="minorHAnsi"/>
      <w:sz w:val="22"/>
      <w:szCs w:val="22"/>
      <w:lang w:val="en-C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901249"/>
    <w:pPr>
      <w:spacing w:after="0" w:line="240" w:lineRule="auto"/>
    </w:pPr>
    <w:rPr>
      <w:sz w:val="20"/>
      <w:szCs w:val="20"/>
    </w:rPr>
  </w:style>
  <w:style w:type="character" w:customStyle="1" w:styleId="FootnoteTextChar">
    <w:name w:val="Footnote Text Char"/>
    <w:basedOn w:val="DefaultParagraphFont"/>
    <w:link w:val="FootnoteText"/>
    <w:uiPriority w:val="99"/>
    <w:rsid w:val="00901249"/>
    <w:rPr>
      <w:rFonts w:eastAsiaTheme="minorHAnsi"/>
      <w:sz w:val="20"/>
      <w:szCs w:val="20"/>
      <w:lang w:val="en-CA"/>
    </w:rPr>
  </w:style>
  <w:style w:type="character" w:styleId="FootnoteReference">
    <w:name w:val="footnote reference"/>
    <w:basedOn w:val="DefaultParagraphFont"/>
    <w:uiPriority w:val="99"/>
    <w:semiHidden/>
    <w:unhideWhenUsed/>
    <w:rsid w:val="00901249"/>
    <w:rPr>
      <w:vertAlign w:val="superscript"/>
    </w:rPr>
  </w:style>
  <w:style w:type="paragraph" w:styleId="EndnoteText">
    <w:name w:val="endnote text"/>
    <w:basedOn w:val="Normal"/>
    <w:link w:val="EndnoteTextChar"/>
    <w:uiPriority w:val="99"/>
    <w:unhideWhenUsed/>
    <w:rsid w:val="00901249"/>
    <w:pPr>
      <w:spacing w:after="0" w:line="240" w:lineRule="auto"/>
    </w:pPr>
    <w:rPr>
      <w:sz w:val="20"/>
      <w:szCs w:val="20"/>
    </w:rPr>
  </w:style>
  <w:style w:type="character" w:customStyle="1" w:styleId="EndnoteTextChar">
    <w:name w:val="Endnote Text Char"/>
    <w:basedOn w:val="DefaultParagraphFont"/>
    <w:link w:val="EndnoteText"/>
    <w:uiPriority w:val="99"/>
    <w:rsid w:val="00901249"/>
    <w:rPr>
      <w:rFonts w:eastAsiaTheme="minorHAnsi"/>
      <w:sz w:val="20"/>
      <w:szCs w:val="20"/>
      <w:lang w:val="en-CA"/>
    </w:rPr>
  </w:style>
  <w:style w:type="character" w:styleId="CommentReference">
    <w:name w:val="annotation reference"/>
    <w:basedOn w:val="DefaultParagraphFont"/>
    <w:uiPriority w:val="99"/>
    <w:semiHidden/>
    <w:unhideWhenUsed/>
    <w:rsid w:val="00EB2F60"/>
    <w:rPr>
      <w:sz w:val="18"/>
      <w:szCs w:val="18"/>
    </w:rPr>
  </w:style>
  <w:style w:type="paragraph" w:styleId="CommentText">
    <w:name w:val="annotation text"/>
    <w:basedOn w:val="Normal"/>
    <w:link w:val="CommentTextChar"/>
    <w:uiPriority w:val="99"/>
    <w:semiHidden/>
    <w:unhideWhenUsed/>
    <w:rsid w:val="00EB2F60"/>
    <w:pPr>
      <w:spacing w:line="240" w:lineRule="auto"/>
    </w:pPr>
    <w:rPr>
      <w:sz w:val="24"/>
      <w:szCs w:val="24"/>
    </w:rPr>
  </w:style>
  <w:style w:type="character" w:customStyle="1" w:styleId="CommentTextChar">
    <w:name w:val="Comment Text Char"/>
    <w:basedOn w:val="DefaultParagraphFont"/>
    <w:link w:val="CommentText"/>
    <w:uiPriority w:val="99"/>
    <w:semiHidden/>
    <w:rsid w:val="00EB2F60"/>
    <w:rPr>
      <w:rFonts w:eastAsiaTheme="minorHAnsi"/>
      <w:lang w:val="en-CA"/>
    </w:rPr>
  </w:style>
  <w:style w:type="paragraph" w:styleId="CommentSubject">
    <w:name w:val="annotation subject"/>
    <w:basedOn w:val="CommentText"/>
    <w:next w:val="CommentText"/>
    <w:link w:val="CommentSubjectChar"/>
    <w:uiPriority w:val="99"/>
    <w:semiHidden/>
    <w:unhideWhenUsed/>
    <w:rsid w:val="00EB2F60"/>
    <w:rPr>
      <w:b/>
      <w:bCs/>
      <w:sz w:val="20"/>
      <w:szCs w:val="20"/>
    </w:rPr>
  </w:style>
  <w:style w:type="character" w:customStyle="1" w:styleId="CommentSubjectChar">
    <w:name w:val="Comment Subject Char"/>
    <w:basedOn w:val="CommentTextChar"/>
    <w:link w:val="CommentSubject"/>
    <w:uiPriority w:val="99"/>
    <w:semiHidden/>
    <w:rsid w:val="00EB2F60"/>
    <w:rPr>
      <w:rFonts w:eastAsiaTheme="minorHAnsi"/>
      <w:b/>
      <w:bCs/>
      <w:sz w:val="20"/>
      <w:szCs w:val="20"/>
      <w:lang w:val="en-CA"/>
    </w:rPr>
  </w:style>
  <w:style w:type="paragraph" w:styleId="BalloonText">
    <w:name w:val="Balloon Text"/>
    <w:basedOn w:val="Normal"/>
    <w:link w:val="BalloonTextChar"/>
    <w:uiPriority w:val="99"/>
    <w:semiHidden/>
    <w:unhideWhenUsed/>
    <w:rsid w:val="00EB2F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F60"/>
    <w:rPr>
      <w:rFonts w:ascii="Lucida Grande" w:eastAsiaTheme="minorHAnsi"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1077</Characters>
  <Application>Microsoft Office Word</Application>
  <DocSecurity>0</DocSecurity>
  <Lines>8</Lines>
  <Paragraphs>2</Paragraphs>
  <ScaleCrop>false</ScaleCrop>
  <Company>Community Solutions</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BROFFMAN</dc:creator>
  <cp:keywords/>
  <dc:description/>
  <cp:lastModifiedBy>Marie Morrison</cp:lastModifiedBy>
  <cp:revision>2</cp:revision>
  <dcterms:created xsi:type="dcterms:W3CDTF">2019-10-12T12:19:00Z</dcterms:created>
  <dcterms:modified xsi:type="dcterms:W3CDTF">2019-10-12T12:19:00Z</dcterms:modified>
</cp:coreProperties>
</file>