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81D07" w14:textId="77777777" w:rsidR="00C37BCB" w:rsidRDefault="00C21E63" w:rsidP="00C37BCB">
      <w:pPr>
        <w:tabs>
          <w:tab w:val="left" w:pos="2160"/>
          <w:tab w:val="left" w:pos="5760"/>
        </w:tabs>
      </w:pPr>
      <w:bookmarkStart w:id="0" w:name="_GoBack"/>
      <w:bookmarkEnd w:id="0"/>
      <w:r>
        <w:rPr>
          <w:noProof/>
          <w:lang w:val="en-CA" w:eastAsia="en-CA"/>
        </w:rPr>
        <mc:AlternateContent>
          <mc:Choice Requires="wps">
            <w:drawing>
              <wp:anchor distT="0" distB="0" distL="114300" distR="114300" simplePos="0" relativeHeight="251658240" behindDoc="0" locked="0" layoutInCell="1" allowOverlap="1" wp14:anchorId="20181D28" wp14:editId="20181D29">
                <wp:simplePos x="0" y="0"/>
                <wp:positionH relativeFrom="column">
                  <wp:posOffset>3581400</wp:posOffset>
                </wp:positionH>
                <wp:positionV relativeFrom="paragraph">
                  <wp:posOffset>676275</wp:posOffset>
                </wp:positionV>
                <wp:extent cx="2514600" cy="457200"/>
                <wp:effectExtent l="0" t="0" r="19050" b="1905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57200"/>
                        </a:xfrm>
                        <a:prstGeom prst="rect">
                          <a:avLst/>
                        </a:prstGeom>
                        <a:solidFill>
                          <a:srgbClr val="000000"/>
                        </a:solidFill>
                        <a:ln w="9525">
                          <a:solidFill>
                            <a:srgbClr val="000000"/>
                          </a:solidFill>
                          <a:miter lim="800000"/>
                          <a:headEnd/>
                          <a:tailEnd/>
                        </a:ln>
                      </wps:spPr>
                      <wps:txbx>
                        <w:txbxContent>
                          <w:p w14:paraId="20181D31" w14:textId="77777777" w:rsidR="00024CC8" w:rsidRPr="00024CC8" w:rsidRDefault="00024CC8" w:rsidP="00024CC8">
                            <w:pPr>
                              <w:jc w:val="center"/>
                              <w:rPr>
                                <w:rFonts w:ascii="Arial Black" w:hAnsi="Arial Black" w:cs="Arial"/>
                                <w:color w:val="FFFFFF"/>
                                <w:sz w:val="32"/>
                                <w:szCs w:val="32"/>
                              </w:rPr>
                            </w:pPr>
                            <w:r w:rsidRPr="00024CC8">
                              <w:rPr>
                                <w:rFonts w:ascii="Arial Black" w:hAnsi="Arial Black" w:cs="Arial"/>
                                <w:color w:val="FFFFFF"/>
                                <w:sz w:val="32"/>
                                <w:szCs w:val="32"/>
                              </w:rPr>
                              <w:t>NEWS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181D28" id="_x0000_t202" coordsize="21600,21600" o:spt="202" path="m,l,21600r21600,l21600,xe">
                <v:stroke joinstyle="miter"/>
                <v:path gradientshapeok="t" o:connecttype="rect"/>
              </v:shapetype>
              <v:shape id="Text Box 19" o:spid="_x0000_s1026" type="#_x0000_t202" style="position:absolute;margin-left:282pt;margin-top:53.25pt;width:198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" fillcolor="black">
                <v:textbox>
                  <w:txbxContent>
                    <w:p w14:paraId="20181D31" w14:textId="77777777" w:rsidR="00024CC8" w:rsidRPr="00024CC8" w:rsidRDefault="00024CC8" w:rsidP="00024CC8">
                      <w:pPr>
                        <w:jc w:val="center"/>
                        <w:rPr>
                          <w:rFonts w:ascii="Arial Black" w:hAnsi="Arial Black" w:cs="Arial"/>
                          <w:color w:val="FFFFFF"/>
                          <w:sz w:val="32"/>
                          <w:szCs w:val="32"/>
                        </w:rPr>
                      </w:pPr>
                      <w:r w:rsidRPr="00024CC8">
                        <w:rPr>
                          <w:rFonts w:ascii="Arial Black" w:hAnsi="Arial Black" w:cs="Arial"/>
                          <w:color w:val="FFFFFF"/>
                          <w:sz w:val="32"/>
                          <w:szCs w:val="32"/>
                        </w:rPr>
                        <w:t>NEWS RELEASE</w:t>
                      </w:r>
                    </w:p>
                  </w:txbxContent>
                </v:textbox>
              </v:shape>
            </w:pict>
          </mc:Fallback>
        </mc:AlternateContent>
      </w:r>
      <w:r>
        <w:rPr>
          <w:noProof/>
          <w:lang w:val="en-CA" w:eastAsia="en-CA"/>
        </w:rPr>
        <w:drawing>
          <wp:inline distT="0" distB="0" distL="0" distR="0" wp14:anchorId="20181D2A" wp14:editId="20181D2B">
            <wp:extent cx="1219200" cy="1051560"/>
            <wp:effectExtent l="0" t="0" r="0" b="0"/>
            <wp:docPr id="1" name="Picture 1" descr="half inchregion Logo B&amp;W flu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lf inchregion Logo B&amp;W flus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051560"/>
                    </a:xfrm>
                    <a:prstGeom prst="rect">
                      <a:avLst/>
                    </a:prstGeom>
                    <a:noFill/>
                    <a:ln>
                      <a:noFill/>
                    </a:ln>
                  </pic:spPr>
                </pic:pic>
              </a:graphicData>
            </a:graphic>
          </wp:inline>
        </w:drawing>
      </w:r>
    </w:p>
    <w:p w14:paraId="20181D08" w14:textId="77777777" w:rsidR="00C37BCB" w:rsidRDefault="00C37BCB" w:rsidP="00C37BCB">
      <w:pPr>
        <w:tabs>
          <w:tab w:val="left" w:pos="2160"/>
          <w:tab w:val="left" w:pos="5760"/>
        </w:tabs>
        <w:ind w:left="-240" w:hanging="480"/>
      </w:pPr>
    </w:p>
    <w:p w14:paraId="20181D09" w14:textId="77777777" w:rsidR="00C37BCB" w:rsidRDefault="00C37BCB" w:rsidP="00C37BCB">
      <w:pPr>
        <w:tabs>
          <w:tab w:val="left" w:pos="2160"/>
          <w:tab w:val="left" w:pos="5760"/>
        </w:tabs>
        <w:ind w:left="-240" w:hanging="480"/>
      </w:pPr>
    </w:p>
    <w:p w14:paraId="20181D0A" w14:textId="77777777" w:rsidR="00497F55" w:rsidRDefault="00497F55" w:rsidP="00C37BCB">
      <w:pPr>
        <w:tabs>
          <w:tab w:val="left" w:pos="2160"/>
          <w:tab w:val="left" w:pos="5760"/>
        </w:tabs>
        <w:ind w:left="-240" w:hanging="480"/>
      </w:pPr>
    </w:p>
    <w:p w14:paraId="20181D0B" w14:textId="77777777" w:rsidR="00497F55" w:rsidRPr="00480F3A" w:rsidRDefault="00497F55" w:rsidP="00497F55">
      <w:pPr>
        <w:tabs>
          <w:tab w:val="left" w:pos="2160"/>
          <w:tab w:val="left" w:pos="5760"/>
        </w:tabs>
        <w:rPr>
          <w:rFonts w:ascii="Arial" w:hAnsi="Arial" w:cs="Arial"/>
          <w:b/>
        </w:rPr>
      </w:pPr>
      <w:r w:rsidRPr="00480F3A">
        <w:rPr>
          <w:rFonts w:ascii="Arial" w:hAnsi="Arial" w:cs="Arial"/>
          <w:b/>
        </w:rPr>
        <w:t>For immediate release</w:t>
      </w:r>
      <w:r w:rsidRPr="00480F3A">
        <w:rPr>
          <w:rFonts w:ascii="Arial" w:hAnsi="Arial" w:cs="Arial"/>
          <w:b/>
        </w:rPr>
        <w:tab/>
      </w:r>
      <w:r w:rsidRPr="00480F3A">
        <w:rPr>
          <w:rFonts w:ascii="Arial" w:hAnsi="Arial" w:cs="Arial"/>
          <w:b/>
        </w:rPr>
        <w:tab/>
      </w:r>
      <w:r w:rsidRPr="00480F3A">
        <w:rPr>
          <w:rFonts w:ascii="Arial" w:hAnsi="Arial" w:cs="Arial"/>
          <w:b/>
        </w:rPr>
        <w:tab/>
      </w:r>
      <w:r w:rsidRPr="00480F3A">
        <w:rPr>
          <w:rFonts w:ascii="Arial" w:hAnsi="Arial" w:cs="Arial"/>
          <w:b/>
        </w:rPr>
        <w:tab/>
      </w:r>
      <w:r w:rsidR="00C21E63">
        <w:rPr>
          <w:rFonts w:ascii="Arial" w:hAnsi="Arial" w:cs="Arial"/>
          <w:b/>
        </w:rPr>
        <w:t>Dec. 3, 2014</w:t>
      </w:r>
    </w:p>
    <w:p w14:paraId="20181D0C" w14:textId="77777777" w:rsidR="00497F55" w:rsidRPr="001C5372" w:rsidRDefault="0037009F" w:rsidP="00C21E63">
      <w:pPr>
        <w:pStyle w:val="Title"/>
        <w:rPr>
          <w:rFonts w:asciiTheme="minorHAnsi" w:hAnsiTheme="minorHAnsi" w:cs="Arial"/>
          <w:sz w:val="28"/>
        </w:rPr>
      </w:pPr>
      <w:r w:rsidRPr="001C5372">
        <w:rPr>
          <w:rFonts w:asciiTheme="minorHAnsi" w:hAnsiTheme="minorHAnsi"/>
          <w:sz w:val="28"/>
        </w:rPr>
        <w:t xml:space="preserve">Waterloo Region </w:t>
      </w:r>
      <w:r w:rsidR="00C21E63" w:rsidRPr="001C5372">
        <w:rPr>
          <w:rFonts w:asciiTheme="minorHAnsi" w:hAnsiTheme="minorHAnsi"/>
          <w:sz w:val="28"/>
        </w:rPr>
        <w:t>presents survey findings identifying most vulnerable people experiencing homelessness</w:t>
      </w:r>
    </w:p>
    <w:p w14:paraId="20181D0D" w14:textId="77777777" w:rsidR="001C5372" w:rsidRDefault="0037009F" w:rsidP="001C5372">
      <w:pPr>
        <w:rPr>
          <w:rFonts w:ascii="Comic Sans MS" w:hAnsi="Comic Sans MS"/>
          <w:sz w:val="24"/>
          <w:szCs w:val="24"/>
        </w:rPr>
      </w:pPr>
      <w:r w:rsidRPr="00C21E63">
        <w:rPr>
          <w:rFonts w:asciiTheme="minorHAnsi" w:hAnsiTheme="minorHAnsi"/>
          <w:b/>
          <w:color w:val="333333"/>
          <w:lang w:eastAsia="en-CA"/>
        </w:rPr>
        <w:t>Waterloo Region</w:t>
      </w:r>
      <w:r w:rsidRPr="00C21E63">
        <w:rPr>
          <w:rFonts w:asciiTheme="minorHAnsi" w:hAnsiTheme="minorHAnsi"/>
          <w:color w:val="333333"/>
          <w:lang w:eastAsia="en-CA"/>
        </w:rPr>
        <w:t xml:space="preserve"> –T</w:t>
      </w:r>
      <w:r w:rsidRPr="00C21E63">
        <w:rPr>
          <w:rFonts w:asciiTheme="minorHAnsi" w:hAnsiTheme="minorHAnsi" w:cs="Arial"/>
        </w:rPr>
        <w:t>he Region of Waterloo shared results today from our first Registry Week, part of the Canadian 20,000 Homes Campaign. On Nov. 30 and Dec. 1, over 60 staff and volunteers canvassed Waterloo Region shelters and streets to conduct short surveys with more than 3</w:t>
      </w:r>
      <w:r w:rsidR="001069E7">
        <w:rPr>
          <w:rFonts w:asciiTheme="minorHAnsi" w:hAnsiTheme="minorHAnsi" w:cs="Arial"/>
        </w:rPr>
        <w:t>00</w:t>
      </w:r>
      <w:r w:rsidRPr="00C21E63">
        <w:rPr>
          <w:rFonts w:asciiTheme="minorHAnsi" w:hAnsiTheme="minorHAnsi" w:cs="Arial"/>
        </w:rPr>
        <w:t xml:space="preserve"> individuals experiencing homelessness. </w:t>
      </w:r>
      <w:r w:rsidR="001069E7">
        <w:rPr>
          <w:rFonts w:asciiTheme="minorHAnsi" w:hAnsiTheme="minorHAnsi" w:cs="Arial"/>
        </w:rPr>
        <w:t xml:space="preserve">Further information about the Registry Week and initial results can be </w:t>
      </w:r>
      <w:r w:rsidRPr="00C21E63">
        <w:rPr>
          <w:rFonts w:asciiTheme="minorHAnsi" w:hAnsiTheme="minorHAnsi" w:cs="Arial"/>
        </w:rPr>
        <w:t>found on the Region’s website:</w:t>
      </w:r>
      <w:r w:rsidRPr="001C5372">
        <w:rPr>
          <w:rFonts w:asciiTheme="minorHAnsi" w:hAnsiTheme="minorHAnsi" w:cs="Arial"/>
          <w:sz w:val="24"/>
        </w:rPr>
        <w:t xml:space="preserve"> </w:t>
      </w:r>
      <w:hyperlink r:id="rId9" w:history="1">
        <w:r w:rsidR="001C5372" w:rsidRPr="001C5372">
          <w:rPr>
            <w:rStyle w:val="Hyperlink"/>
            <w:rFonts w:asciiTheme="minorHAnsi" w:hAnsiTheme="minorHAnsi"/>
            <w:bCs/>
            <w:szCs w:val="15"/>
          </w:rPr>
          <w:t>http://tinyurl.com/WRRegistryWeekDebrief</w:t>
        </w:r>
      </w:hyperlink>
    </w:p>
    <w:p w14:paraId="20181D0E" w14:textId="77777777" w:rsidR="0037009F" w:rsidRPr="00C21E63" w:rsidRDefault="0037009F" w:rsidP="001C5372">
      <w:pPr>
        <w:autoSpaceDE w:val="0"/>
        <w:autoSpaceDN w:val="0"/>
        <w:adjustRightInd w:val="0"/>
        <w:rPr>
          <w:rFonts w:asciiTheme="minorHAnsi" w:hAnsiTheme="minorHAnsi"/>
          <w:color w:val="333333"/>
          <w:lang w:eastAsia="en-CA"/>
        </w:rPr>
      </w:pPr>
    </w:p>
    <w:p w14:paraId="20181D0F" w14:textId="77777777" w:rsidR="0037009F" w:rsidRPr="001C5372" w:rsidRDefault="0037009F" w:rsidP="0037009F">
      <w:pPr>
        <w:shd w:val="clear" w:color="auto" w:fill="FFFFFF"/>
        <w:spacing w:line="285" w:lineRule="atLeast"/>
        <w:rPr>
          <w:rFonts w:asciiTheme="minorHAnsi" w:hAnsiTheme="minorHAnsi"/>
          <w:b/>
          <w:color w:val="333333"/>
          <w:u w:val="single"/>
          <w:lang w:eastAsia="en-CA"/>
        </w:rPr>
      </w:pPr>
      <w:r w:rsidRPr="001C5372">
        <w:rPr>
          <w:rFonts w:asciiTheme="minorHAnsi" w:hAnsiTheme="minorHAnsi"/>
          <w:b/>
          <w:color w:val="333333"/>
          <w:u w:val="single"/>
          <w:lang w:eastAsia="en-CA"/>
        </w:rPr>
        <w:t>Here are a few key findings:</w:t>
      </w:r>
    </w:p>
    <w:p w14:paraId="20181D10" w14:textId="77777777" w:rsidR="0048228A" w:rsidRPr="005B1877" w:rsidRDefault="0048228A" w:rsidP="0037009F">
      <w:pPr>
        <w:numPr>
          <w:ilvl w:val="0"/>
          <w:numId w:val="1"/>
        </w:numPr>
        <w:shd w:val="clear" w:color="auto" w:fill="FFFFFF"/>
        <w:spacing w:line="285" w:lineRule="atLeast"/>
        <w:ind w:left="450"/>
        <w:rPr>
          <w:rFonts w:asciiTheme="minorHAnsi" w:hAnsiTheme="minorHAnsi"/>
          <w:lang w:eastAsia="en-CA"/>
        </w:rPr>
      </w:pPr>
      <w:r w:rsidRPr="005B1877">
        <w:rPr>
          <w:rFonts w:asciiTheme="minorHAnsi" w:hAnsiTheme="minorHAnsi"/>
          <w:lang w:eastAsia="en-CA"/>
        </w:rPr>
        <w:t xml:space="preserve">339 individuals were identified as experiencing homelessness </w:t>
      </w:r>
      <w:r w:rsidR="001C5372">
        <w:rPr>
          <w:rFonts w:asciiTheme="minorHAnsi" w:hAnsiTheme="minorHAnsi"/>
          <w:lang w:eastAsia="en-CA"/>
        </w:rPr>
        <w:t>(</w:t>
      </w:r>
      <w:r w:rsidRPr="005B1877">
        <w:rPr>
          <w:rFonts w:asciiTheme="minorHAnsi" w:hAnsiTheme="minorHAnsi"/>
          <w:lang w:eastAsia="en-CA"/>
        </w:rPr>
        <w:t>over Nov. 30 – Dec. 1, 2014</w:t>
      </w:r>
      <w:r w:rsidR="001C5372">
        <w:rPr>
          <w:rFonts w:asciiTheme="minorHAnsi" w:hAnsiTheme="minorHAnsi"/>
          <w:lang w:eastAsia="en-CA"/>
        </w:rPr>
        <w:t>)</w:t>
      </w:r>
    </w:p>
    <w:p w14:paraId="20181D11" w14:textId="77777777" w:rsidR="0048228A" w:rsidRPr="005B1877" w:rsidRDefault="0048228A" w:rsidP="0037009F">
      <w:pPr>
        <w:numPr>
          <w:ilvl w:val="0"/>
          <w:numId w:val="1"/>
        </w:numPr>
        <w:shd w:val="clear" w:color="auto" w:fill="FFFFFF"/>
        <w:spacing w:line="285" w:lineRule="atLeast"/>
        <w:ind w:left="450"/>
        <w:rPr>
          <w:rFonts w:asciiTheme="minorHAnsi" w:hAnsiTheme="minorHAnsi"/>
          <w:lang w:eastAsia="en-CA"/>
        </w:rPr>
      </w:pPr>
      <w:r w:rsidRPr="005B1877">
        <w:rPr>
          <w:rFonts w:asciiTheme="minorHAnsi" w:hAnsiTheme="minorHAnsi"/>
          <w:lang w:eastAsia="en-CA"/>
        </w:rPr>
        <w:t xml:space="preserve">88% </w:t>
      </w:r>
      <w:r w:rsidR="005B1877">
        <w:rPr>
          <w:rFonts w:asciiTheme="minorHAnsi" w:hAnsiTheme="minorHAnsi"/>
          <w:lang w:eastAsia="en-CA"/>
        </w:rPr>
        <w:t xml:space="preserve">of individuals experiencing homelessness </w:t>
      </w:r>
      <w:r w:rsidRPr="005B1877">
        <w:rPr>
          <w:rFonts w:asciiTheme="minorHAnsi" w:hAnsiTheme="minorHAnsi"/>
          <w:lang w:eastAsia="en-CA"/>
        </w:rPr>
        <w:t>completed a short health and h</w:t>
      </w:r>
      <w:r w:rsidR="005B1877">
        <w:rPr>
          <w:rFonts w:asciiTheme="minorHAnsi" w:hAnsiTheme="minorHAnsi"/>
          <w:lang w:eastAsia="en-CA"/>
        </w:rPr>
        <w:t>ousing</w:t>
      </w:r>
      <w:r w:rsidRPr="005B1877">
        <w:rPr>
          <w:rFonts w:asciiTheme="minorHAnsi" w:hAnsiTheme="minorHAnsi"/>
          <w:lang w:eastAsia="en-CA"/>
        </w:rPr>
        <w:t xml:space="preserve"> survey</w:t>
      </w:r>
    </w:p>
    <w:p w14:paraId="20181D12" w14:textId="77777777" w:rsidR="0037009F" w:rsidRPr="001C5372" w:rsidRDefault="00E455E0" w:rsidP="0037009F">
      <w:pPr>
        <w:shd w:val="clear" w:color="auto" w:fill="FFFFFF"/>
        <w:spacing w:line="285" w:lineRule="atLeast"/>
        <w:rPr>
          <w:rFonts w:asciiTheme="minorHAnsi" w:hAnsiTheme="minorHAnsi"/>
          <w:b/>
          <w:lang w:eastAsia="en-CA"/>
        </w:rPr>
      </w:pPr>
      <w:r w:rsidRPr="001C5372">
        <w:rPr>
          <w:rFonts w:asciiTheme="minorHAnsi" w:hAnsiTheme="minorHAnsi"/>
          <w:b/>
          <w:lang w:eastAsia="en-CA"/>
        </w:rPr>
        <w:t>Demographics</w:t>
      </w:r>
    </w:p>
    <w:p w14:paraId="20181D13" w14:textId="77777777" w:rsidR="0037009F" w:rsidRPr="005B1877" w:rsidRDefault="00E455E0" w:rsidP="0037009F">
      <w:pPr>
        <w:numPr>
          <w:ilvl w:val="0"/>
          <w:numId w:val="2"/>
        </w:numPr>
        <w:shd w:val="clear" w:color="auto" w:fill="FFFFFF"/>
        <w:spacing w:line="285" w:lineRule="atLeast"/>
        <w:ind w:left="450"/>
        <w:rPr>
          <w:rFonts w:asciiTheme="minorHAnsi" w:hAnsiTheme="minorHAnsi"/>
          <w:lang w:eastAsia="en-CA"/>
        </w:rPr>
      </w:pPr>
      <w:r w:rsidRPr="005B1877">
        <w:rPr>
          <w:rFonts w:asciiTheme="minorHAnsi" w:hAnsiTheme="minorHAnsi"/>
          <w:lang w:eastAsia="en-CA"/>
        </w:rPr>
        <w:t>68% male and 32% female</w:t>
      </w:r>
    </w:p>
    <w:p w14:paraId="20181D14" w14:textId="77777777" w:rsidR="00E455E0" w:rsidRPr="005B1877" w:rsidRDefault="00E455E0" w:rsidP="0037009F">
      <w:pPr>
        <w:numPr>
          <w:ilvl w:val="0"/>
          <w:numId w:val="2"/>
        </w:numPr>
        <w:shd w:val="clear" w:color="auto" w:fill="FFFFFF"/>
        <w:spacing w:line="285" w:lineRule="atLeast"/>
        <w:ind w:left="450"/>
        <w:rPr>
          <w:rFonts w:asciiTheme="minorHAnsi" w:hAnsiTheme="minorHAnsi"/>
          <w:lang w:eastAsia="en-CA"/>
        </w:rPr>
      </w:pPr>
      <w:r w:rsidRPr="005B1877">
        <w:rPr>
          <w:rFonts w:asciiTheme="minorHAnsi" w:hAnsiTheme="minorHAnsi"/>
          <w:lang w:eastAsia="en-CA"/>
        </w:rPr>
        <w:t xml:space="preserve">28% youth </w:t>
      </w:r>
      <w:r w:rsidR="001C5372">
        <w:rPr>
          <w:rFonts w:asciiTheme="minorHAnsi" w:hAnsiTheme="minorHAnsi"/>
          <w:lang w:eastAsia="en-CA"/>
        </w:rPr>
        <w:t xml:space="preserve">(ages 16 – </w:t>
      </w:r>
      <w:r w:rsidRPr="005B1877">
        <w:rPr>
          <w:rFonts w:asciiTheme="minorHAnsi" w:hAnsiTheme="minorHAnsi"/>
          <w:lang w:eastAsia="en-CA"/>
        </w:rPr>
        <w:t>24</w:t>
      </w:r>
      <w:r w:rsidR="001C5372">
        <w:rPr>
          <w:rFonts w:asciiTheme="minorHAnsi" w:hAnsiTheme="minorHAnsi"/>
          <w:lang w:eastAsia="en-CA"/>
        </w:rPr>
        <w:t>)</w:t>
      </w:r>
      <w:r w:rsidRPr="005B1877">
        <w:rPr>
          <w:rFonts w:asciiTheme="minorHAnsi" w:hAnsiTheme="minorHAnsi"/>
          <w:lang w:eastAsia="en-CA"/>
        </w:rPr>
        <w:t xml:space="preserve">, 69% adults </w:t>
      </w:r>
      <w:r w:rsidR="001C5372">
        <w:rPr>
          <w:rFonts w:asciiTheme="minorHAnsi" w:hAnsiTheme="minorHAnsi"/>
          <w:lang w:eastAsia="en-CA"/>
        </w:rPr>
        <w:t>(</w:t>
      </w:r>
      <w:r w:rsidRPr="005B1877">
        <w:rPr>
          <w:rFonts w:asciiTheme="minorHAnsi" w:hAnsiTheme="minorHAnsi"/>
          <w:lang w:eastAsia="en-CA"/>
        </w:rPr>
        <w:t>ages 25-64</w:t>
      </w:r>
      <w:r w:rsidR="001C5372">
        <w:rPr>
          <w:rFonts w:asciiTheme="minorHAnsi" w:hAnsiTheme="minorHAnsi"/>
          <w:lang w:eastAsia="en-CA"/>
        </w:rPr>
        <w:t>)</w:t>
      </w:r>
      <w:r w:rsidRPr="005B1877">
        <w:rPr>
          <w:rFonts w:asciiTheme="minorHAnsi" w:hAnsiTheme="minorHAnsi"/>
          <w:lang w:eastAsia="en-CA"/>
        </w:rPr>
        <w:t>, 3% ages 65+</w:t>
      </w:r>
    </w:p>
    <w:p w14:paraId="20181D15" w14:textId="77777777" w:rsidR="0037009F" w:rsidRPr="001C5372" w:rsidRDefault="001C5372" w:rsidP="0037009F">
      <w:pPr>
        <w:shd w:val="clear" w:color="auto" w:fill="FFFFFF"/>
        <w:spacing w:line="285" w:lineRule="atLeast"/>
        <w:rPr>
          <w:rFonts w:asciiTheme="minorHAnsi" w:hAnsiTheme="minorHAnsi"/>
          <w:b/>
          <w:lang w:eastAsia="en-CA"/>
        </w:rPr>
      </w:pPr>
      <w:r>
        <w:rPr>
          <w:rFonts w:asciiTheme="minorHAnsi" w:hAnsiTheme="minorHAnsi"/>
          <w:b/>
          <w:lang w:eastAsia="en-CA"/>
        </w:rPr>
        <w:t>Years of h</w:t>
      </w:r>
      <w:r w:rsidR="0037009F" w:rsidRPr="001C5372">
        <w:rPr>
          <w:rFonts w:asciiTheme="minorHAnsi" w:hAnsiTheme="minorHAnsi"/>
          <w:b/>
          <w:lang w:eastAsia="en-CA"/>
        </w:rPr>
        <w:t>omeless</w:t>
      </w:r>
      <w:r>
        <w:rPr>
          <w:rFonts w:asciiTheme="minorHAnsi" w:hAnsiTheme="minorHAnsi"/>
          <w:b/>
          <w:lang w:eastAsia="en-CA"/>
        </w:rPr>
        <w:t>ness</w:t>
      </w:r>
    </w:p>
    <w:p w14:paraId="20181D16" w14:textId="77777777" w:rsidR="0037009F" w:rsidRPr="005B1877" w:rsidRDefault="0048228A" w:rsidP="0037009F">
      <w:pPr>
        <w:numPr>
          <w:ilvl w:val="0"/>
          <w:numId w:val="3"/>
        </w:numPr>
        <w:shd w:val="clear" w:color="auto" w:fill="FFFFFF"/>
        <w:spacing w:line="285" w:lineRule="atLeast"/>
        <w:ind w:left="450"/>
        <w:rPr>
          <w:rFonts w:asciiTheme="minorHAnsi" w:hAnsiTheme="minorHAnsi"/>
          <w:lang w:eastAsia="en-CA"/>
        </w:rPr>
      </w:pPr>
      <w:r w:rsidRPr="005B1877">
        <w:rPr>
          <w:rFonts w:asciiTheme="minorHAnsi" w:hAnsiTheme="minorHAnsi"/>
          <w:lang w:eastAsia="en-CA"/>
        </w:rPr>
        <w:t>178 (63%) would be considered chronic homeless with an overall average of 3.5 years homeless</w:t>
      </w:r>
    </w:p>
    <w:p w14:paraId="20181D17" w14:textId="77777777" w:rsidR="0048228A" w:rsidRPr="005B1877" w:rsidRDefault="001C5372" w:rsidP="0037009F">
      <w:pPr>
        <w:numPr>
          <w:ilvl w:val="0"/>
          <w:numId w:val="3"/>
        </w:numPr>
        <w:shd w:val="clear" w:color="auto" w:fill="FFFFFF"/>
        <w:spacing w:line="285" w:lineRule="atLeast"/>
        <w:ind w:left="450"/>
        <w:rPr>
          <w:rFonts w:asciiTheme="minorHAnsi" w:hAnsiTheme="minorHAnsi"/>
          <w:lang w:eastAsia="en-CA"/>
        </w:rPr>
      </w:pPr>
      <w:r>
        <w:rPr>
          <w:rFonts w:asciiTheme="minorHAnsi" w:hAnsiTheme="minorHAnsi"/>
          <w:lang w:eastAsia="en-CA"/>
        </w:rPr>
        <w:t>Five</w:t>
      </w:r>
      <w:r w:rsidR="00E455E0" w:rsidRPr="005B1877">
        <w:rPr>
          <w:rFonts w:asciiTheme="minorHAnsi" w:hAnsiTheme="minorHAnsi"/>
          <w:lang w:eastAsia="en-CA"/>
        </w:rPr>
        <w:t xml:space="preserve"> individuals identified having experienced homelessness for 20 years or more</w:t>
      </w:r>
    </w:p>
    <w:p w14:paraId="20181D18" w14:textId="77777777" w:rsidR="00E455E0" w:rsidRPr="001C5372" w:rsidRDefault="00E455E0" w:rsidP="0037009F">
      <w:pPr>
        <w:shd w:val="clear" w:color="auto" w:fill="FFFFFF"/>
        <w:spacing w:line="285" w:lineRule="atLeast"/>
        <w:rPr>
          <w:rFonts w:asciiTheme="minorHAnsi" w:hAnsiTheme="minorHAnsi"/>
          <w:b/>
          <w:lang w:eastAsia="en-CA"/>
        </w:rPr>
      </w:pPr>
      <w:r w:rsidRPr="001C5372">
        <w:rPr>
          <w:rFonts w:asciiTheme="minorHAnsi" w:hAnsiTheme="minorHAnsi"/>
          <w:b/>
          <w:lang w:eastAsia="en-CA"/>
        </w:rPr>
        <w:t>Background</w:t>
      </w:r>
    </w:p>
    <w:p w14:paraId="20181D19" w14:textId="77777777" w:rsidR="00E455E0" w:rsidRPr="005B1877" w:rsidRDefault="00E455E0" w:rsidP="00E455E0">
      <w:pPr>
        <w:pStyle w:val="ListParagraph"/>
        <w:numPr>
          <w:ilvl w:val="0"/>
          <w:numId w:val="4"/>
        </w:numPr>
        <w:shd w:val="clear" w:color="auto" w:fill="FFFFFF"/>
        <w:spacing w:line="285" w:lineRule="atLeast"/>
        <w:ind w:left="360" w:hanging="270"/>
        <w:rPr>
          <w:rFonts w:asciiTheme="minorHAnsi" w:hAnsiTheme="minorHAnsi"/>
          <w:lang w:eastAsia="en-CA"/>
        </w:rPr>
      </w:pPr>
      <w:r w:rsidRPr="005B1877">
        <w:rPr>
          <w:rFonts w:asciiTheme="minorHAnsi" w:hAnsiTheme="minorHAnsi"/>
          <w:lang w:eastAsia="en-CA"/>
        </w:rPr>
        <w:t>24% reported a history of foster care</w:t>
      </w:r>
    </w:p>
    <w:p w14:paraId="20181D1A" w14:textId="77777777" w:rsidR="00E455E0" w:rsidRPr="005B1877" w:rsidRDefault="00E455E0" w:rsidP="00E455E0">
      <w:pPr>
        <w:pStyle w:val="ListParagraph"/>
        <w:numPr>
          <w:ilvl w:val="0"/>
          <w:numId w:val="4"/>
        </w:numPr>
        <w:shd w:val="clear" w:color="auto" w:fill="FFFFFF"/>
        <w:spacing w:line="285" w:lineRule="atLeast"/>
        <w:ind w:left="360" w:hanging="270"/>
        <w:rPr>
          <w:rFonts w:asciiTheme="minorHAnsi" w:hAnsiTheme="minorHAnsi"/>
          <w:lang w:eastAsia="en-CA"/>
        </w:rPr>
      </w:pPr>
      <w:r w:rsidRPr="005B1877">
        <w:rPr>
          <w:rFonts w:asciiTheme="minorHAnsi" w:hAnsiTheme="minorHAnsi"/>
          <w:lang w:eastAsia="en-CA"/>
        </w:rPr>
        <w:t>66% did not complete high school, while almost 20% had post-secondary education</w:t>
      </w:r>
    </w:p>
    <w:p w14:paraId="20181D1B" w14:textId="77777777" w:rsidR="00E455E0" w:rsidRPr="005B1877" w:rsidRDefault="00E455E0" w:rsidP="00E455E0">
      <w:pPr>
        <w:pStyle w:val="ListParagraph"/>
        <w:numPr>
          <w:ilvl w:val="0"/>
          <w:numId w:val="4"/>
        </w:numPr>
        <w:shd w:val="clear" w:color="auto" w:fill="FFFFFF"/>
        <w:spacing w:line="285" w:lineRule="atLeast"/>
        <w:ind w:left="360" w:hanging="270"/>
        <w:rPr>
          <w:rFonts w:asciiTheme="minorHAnsi" w:hAnsiTheme="minorHAnsi"/>
          <w:lang w:eastAsia="en-CA"/>
        </w:rPr>
      </w:pPr>
      <w:r w:rsidRPr="005B1877">
        <w:rPr>
          <w:rFonts w:asciiTheme="minorHAnsi" w:hAnsiTheme="minorHAnsi"/>
          <w:lang w:eastAsia="en-CA"/>
        </w:rPr>
        <w:t>5% had served in the Canadian Armed Forces</w:t>
      </w:r>
    </w:p>
    <w:p w14:paraId="20181D1C" w14:textId="77777777" w:rsidR="00E455E0" w:rsidRPr="001C5372" w:rsidRDefault="00E455E0" w:rsidP="0037009F">
      <w:pPr>
        <w:shd w:val="clear" w:color="auto" w:fill="FFFFFF"/>
        <w:spacing w:line="285" w:lineRule="atLeast"/>
        <w:rPr>
          <w:rFonts w:asciiTheme="minorHAnsi" w:hAnsiTheme="minorHAnsi"/>
          <w:b/>
          <w:lang w:eastAsia="en-CA"/>
        </w:rPr>
      </w:pPr>
      <w:r w:rsidRPr="001C5372">
        <w:rPr>
          <w:rFonts w:asciiTheme="minorHAnsi" w:hAnsiTheme="minorHAnsi"/>
          <w:b/>
          <w:lang w:eastAsia="en-CA"/>
        </w:rPr>
        <w:t>Health</w:t>
      </w:r>
    </w:p>
    <w:p w14:paraId="20181D1D" w14:textId="77777777" w:rsidR="00E455E0" w:rsidRPr="005B1877" w:rsidRDefault="00E455E0" w:rsidP="00E455E0">
      <w:pPr>
        <w:numPr>
          <w:ilvl w:val="0"/>
          <w:numId w:val="1"/>
        </w:numPr>
        <w:shd w:val="clear" w:color="auto" w:fill="FFFFFF"/>
        <w:spacing w:line="285" w:lineRule="atLeast"/>
        <w:ind w:left="450"/>
        <w:rPr>
          <w:rFonts w:asciiTheme="minorHAnsi" w:hAnsiTheme="minorHAnsi"/>
          <w:lang w:eastAsia="en-CA"/>
        </w:rPr>
      </w:pPr>
      <w:r w:rsidRPr="005B1877">
        <w:rPr>
          <w:rFonts w:asciiTheme="minorHAnsi" w:hAnsiTheme="minorHAnsi"/>
          <w:lang w:eastAsia="en-CA"/>
        </w:rPr>
        <w:t>127 (45%) were found to have health conditions associ</w:t>
      </w:r>
      <w:r w:rsidR="001C5372">
        <w:rPr>
          <w:rFonts w:asciiTheme="minorHAnsi" w:hAnsiTheme="minorHAnsi"/>
          <w:lang w:eastAsia="en-CA"/>
        </w:rPr>
        <w:t>ated with a high mortality risk</w:t>
      </w:r>
    </w:p>
    <w:p w14:paraId="20181D1E" w14:textId="77777777" w:rsidR="00E455E0" w:rsidRPr="005B1877" w:rsidRDefault="00E455E0" w:rsidP="00E455E0">
      <w:pPr>
        <w:numPr>
          <w:ilvl w:val="0"/>
          <w:numId w:val="1"/>
        </w:numPr>
        <w:shd w:val="clear" w:color="auto" w:fill="FFFFFF"/>
        <w:spacing w:line="285" w:lineRule="atLeast"/>
        <w:ind w:left="450"/>
        <w:rPr>
          <w:rFonts w:asciiTheme="minorHAnsi" w:hAnsiTheme="minorHAnsi"/>
          <w:lang w:eastAsia="en-CA"/>
        </w:rPr>
      </w:pPr>
      <w:r w:rsidRPr="005B1877">
        <w:rPr>
          <w:rFonts w:asciiTheme="minorHAnsi" w:hAnsiTheme="minorHAnsi"/>
          <w:lang w:eastAsia="en-CA"/>
        </w:rPr>
        <w:t>85% reported mental health issues and 83% identified substance use issues</w:t>
      </w:r>
    </w:p>
    <w:p w14:paraId="20181D1F" w14:textId="77777777" w:rsidR="00E455E0" w:rsidRPr="005B1877" w:rsidRDefault="00E455E0" w:rsidP="00E455E0">
      <w:pPr>
        <w:numPr>
          <w:ilvl w:val="0"/>
          <w:numId w:val="1"/>
        </w:numPr>
        <w:shd w:val="clear" w:color="auto" w:fill="FFFFFF"/>
        <w:spacing w:line="285" w:lineRule="atLeast"/>
        <w:ind w:left="450"/>
        <w:rPr>
          <w:rFonts w:asciiTheme="minorHAnsi" w:hAnsiTheme="minorHAnsi"/>
          <w:lang w:eastAsia="en-CA"/>
        </w:rPr>
      </w:pPr>
      <w:r w:rsidRPr="005B1877">
        <w:rPr>
          <w:rFonts w:asciiTheme="minorHAnsi" w:hAnsiTheme="minorHAnsi"/>
          <w:lang w:eastAsia="en-CA"/>
        </w:rPr>
        <w:t>41% reported being a victim of a violent attac</w:t>
      </w:r>
      <w:r w:rsidR="001C5372">
        <w:rPr>
          <w:rFonts w:asciiTheme="minorHAnsi" w:hAnsiTheme="minorHAnsi"/>
          <w:lang w:eastAsia="en-CA"/>
        </w:rPr>
        <w:t>k</w:t>
      </w:r>
      <w:r w:rsidRPr="005B1877">
        <w:rPr>
          <w:rFonts w:asciiTheme="minorHAnsi" w:hAnsiTheme="minorHAnsi"/>
          <w:lang w:eastAsia="en-CA"/>
        </w:rPr>
        <w:t xml:space="preserve"> since becoming homeless</w:t>
      </w:r>
    </w:p>
    <w:p w14:paraId="20181D20" w14:textId="77777777" w:rsidR="00E455E0" w:rsidRPr="005B1877" w:rsidRDefault="00E455E0" w:rsidP="00E455E0">
      <w:pPr>
        <w:numPr>
          <w:ilvl w:val="0"/>
          <w:numId w:val="1"/>
        </w:numPr>
        <w:shd w:val="clear" w:color="auto" w:fill="FFFFFF"/>
        <w:spacing w:line="285" w:lineRule="atLeast"/>
        <w:ind w:left="450"/>
        <w:rPr>
          <w:rFonts w:asciiTheme="minorHAnsi" w:hAnsiTheme="minorHAnsi"/>
          <w:lang w:eastAsia="en-CA"/>
        </w:rPr>
      </w:pPr>
      <w:r w:rsidRPr="005B1877">
        <w:rPr>
          <w:rFonts w:asciiTheme="minorHAnsi" w:hAnsiTheme="minorHAnsi"/>
          <w:lang w:eastAsia="en-CA"/>
        </w:rPr>
        <w:t>Costs for hospital emergency room visits and ambulance transfer</w:t>
      </w:r>
      <w:r w:rsidR="005B1877" w:rsidRPr="005B1877">
        <w:rPr>
          <w:rFonts w:asciiTheme="minorHAnsi" w:hAnsiTheme="minorHAnsi"/>
          <w:lang w:eastAsia="en-CA"/>
        </w:rPr>
        <w:t>s</w:t>
      </w:r>
      <w:r w:rsidRPr="005B1877">
        <w:rPr>
          <w:rFonts w:asciiTheme="minorHAnsi" w:hAnsiTheme="minorHAnsi"/>
          <w:lang w:eastAsia="en-CA"/>
        </w:rPr>
        <w:t xml:space="preserve"> over </w:t>
      </w:r>
      <w:r w:rsidR="005B1877" w:rsidRPr="005B1877">
        <w:rPr>
          <w:rFonts w:asciiTheme="minorHAnsi" w:hAnsiTheme="minorHAnsi"/>
          <w:lang w:eastAsia="en-CA"/>
        </w:rPr>
        <w:t xml:space="preserve">the last </w:t>
      </w:r>
      <w:r w:rsidRPr="005B1877">
        <w:rPr>
          <w:rFonts w:asciiTheme="minorHAnsi" w:hAnsiTheme="minorHAnsi"/>
          <w:lang w:eastAsia="en-CA"/>
        </w:rPr>
        <w:t>six month</w:t>
      </w:r>
      <w:r w:rsidR="005B1877" w:rsidRPr="005B1877">
        <w:rPr>
          <w:rFonts w:asciiTheme="minorHAnsi" w:hAnsiTheme="minorHAnsi"/>
          <w:lang w:eastAsia="en-CA"/>
        </w:rPr>
        <w:t xml:space="preserve">s </w:t>
      </w:r>
      <w:r w:rsidRPr="005B1877">
        <w:rPr>
          <w:rFonts w:asciiTheme="minorHAnsi" w:hAnsiTheme="minorHAnsi"/>
          <w:lang w:eastAsia="en-CA"/>
        </w:rPr>
        <w:t xml:space="preserve">for survey </w:t>
      </w:r>
      <w:r w:rsidR="005B1877" w:rsidRPr="005B1877">
        <w:rPr>
          <w:rFonts w:asciiTheme="minorHAnsi" w:hAnsiTheme="minorHAnsi"/>
          <w:lang w:eastAsia="en-CA"/>
        </w:rPr>
        <w:t xml:space="preserve">a respondent is </w:t>
      </w:r>
      <w:r w:rsidRPr="005B1877">
        <w:rPr>
          <w:rFonts w:asciiTheme="minorHAnsi" w:hAnsiTheme="minorHAnsi"/>
          <w:lang w:eastAsia="en-CA"/>
        </w:rPr>
        <w:t xml:space="preserve">estimated at </w:t>
      </w:r>
      <w:r w:rsidR="005B1877" w:rsidRPr="005B1877">
        <w:rPr>
          <w:rFonts w:asciiTheme="minorHAnsi" w:hAnsiTheme="minorHAnsi"/>
          <w:lang w:eastAsia="en-CA"/>
        </w:rPr>
        <w:t>over $</w:t>
      </w:r>
      <w:r w:rsidRPr="005B1877">
        <w:rPr>
          <w:rFonts w:asciiTheme="minorHAnsi" w:hAnsiTheme="minorHAnsi"/>
          <w:lang w:eastAsia="en-CA"/>
        </w:rPr>
        <w:t>300,000.</w:t>
      </w:r>
    </w:p>
    <w:p w14:paraId="20181D21" w14:textId="77777777" w:rsidR="0067029A" w:rsidRPr="005B1877" w:rsidRDefault="0067029A" w:rsidP="0037009F">
      <w:pPr>
        <w:shd w:val="clear" w:color="auto" w:fill="FFFFFF"/>
        <w:spacing w:line="285" w:lineRule="atLeast"/>
        <w:rPr>
          <w:rFonts w:asciiTheme="minorHAnsi" w:hAnsiTheme="minorHAnsi"/>
          <w:lang w:eastAsia="en-CA"/>
        </w:rPr>
      </w:pPr>
    </w:p>
    <w:p w14:paraId="20181D22" w14:textId="77777777" w:rsidR="0037009F" w:rsidRPr="00C21E63" w:rsidRDefault="0037009F" w:rsidP="0037009F">
      <w:pPr>
        <w:tabs>
          <w:tab w:val="left" w:pos="2160"/>
          <w:tab w:val="left" w:pos="5760"/>
        </w:tabs>
        <w:rPr>
          <w:rFonts w:asciiTheme="minorHAnsi" w:hAnsiTheme="minorHAnsi" w:cs="Arial"/>
        </w:rPr>
      </w:pPr>
      <w:r w:rsidRPr="00C21E63">
        <w:rPr>
          <w:rFonts w:asciiTheme="minorHAnsi" w:hAnsiTheme="minorHAnsi" w:cs="Arial"/>
        </w:rPr>
        <w:t xml:space="preserve">Waterloo Region is the first Canadian community to pilot the 20,000 Homes Campaign, which aims to permanently house 20,000 of our country’s most vulnerable people experiencing homelessness by 2018. </w:t>
      </w:r>
      <w:r w:rsidR="00C21E63" w:rsidRPr="00C21E63">
        <w:rPr>
          <w:rFonts w:asciiTheme="minorHAnsi" w:hAnsiTheme="minorHAnsi" w:cs="Arial"/>
        </w:rPr>
        <w:t>The goal for Waterloo Region is to house up to 40 individuals over the 2014/2015 winter season.</w:t>
      </w:r>
    </w:p>
    <w:p w14:paraId="20181D23" w14:textId="77777777" w:rsidR="00C21E63" w:rsidRPr="00C21E63" w:rsidRDefault="00C21E63" w:rsidP="0037009F">
      <w:pPr>
        <w:tabs>
          <w:tab w:val="left" w:pos="2160"/>
          <w:tab w:val="left" w:pos="5760"/>
        </w:tabs>
        <w:rPr>
          <w:rFonts w:asciiTheme="minorHAnsi" w:hAnsiTheme="minorHAnsi" w:cs="Arial"/>
        </w:rPr>
      </w:pPr>
    </w:p>
    <w:p w14:paraId="20181D24" w14:textId="77777777" w:rsidR="00C21E63" w:rsidRPr="00C21E63" w:rsidRDefault="00C21E63" w:rsidP="00C21E63">
      <w:pPr>
        <w:tabs>
          <w:tab w:val="left" w:pos="2160"/>
          <w:tab w:val="left" w:pos="5760"/>
        </w:tabs>
        <w:jc w:val="center"/>
        <w:rPr>
          <w:rFonts w:asciiTheme="minorHAnsi" w:hAnsiTheme="minorHAnsi" w:cs="Arial"/>
        </w:rPr>
      </w:pPr>
      <w:r w:rsidRPr="00C21E63">
        <w:rPr>
          <w:rFonts w:asciiTheme="minorHAnsi" w:hAnsiTheme="minorHAnsi" w:cs="Arial"/>
        </w:rPr>
        <w:t>-30-</w:t>
      </w:r>
    </w:p>
    <w:p w14:paraId="20181D25" w14:textId="77777777" w:rsidR="00C21E63" w:rsidRPr="00C21E63" w:rsidRDefault="00C21E63" w:rsidP="00C21E63">
      <w:pPr>
        <w:tabs>
          <w:tab w:val="left" w:pos="2160"/>
          <w:tab w:val="left" w:pos="5760"/>
        </w:tabs>
        <w:rPr>
          <w:rFonts w:asciiTheme="minorHAnsi" w:hAnsiTheme="minorHAnsi" w:cs="Arial"/>
        </w:rPr>
      </w:pPr>
    </w:p>
    <w:p w14:paraId="20181D26" w14:textId="77777777" w:rsidR="00C21E63" w:rsidRPr="00C21E63" w:rsidRDefault="00C21E63" w:rsidP="00C21E63">
      <w:pPr>
        <w:tabs>
          <w:tab w:val="left" w:pos="2160"/>
          <w:tab w:val="left" w:pos="5760"/>
        </w:tabs>
        <w:rPr>
          <w:rFonts w:asciiTheme="minorHAnsi" w:hAnsiTheme="minorHAnsi" w:cs="Arial"/>
          <w:b/>
        </w:rPr>
      </w:pPr>
      <w:r w:rsidRPr="00C21E63">
        <w:rPr>
          <w:rFonts w:asciiTheme="minorHAnsi" w:hAnsiTheme="minorHAnsi" w:cs="Arial"/>
          <w:b/>
        </w:rPr>
        <w:t>For more information, please contact:</w:t>
      </w:r>
    </w:p>
    <w:p w14:paraId="20181D27" w14:textId="77777777" w:rsidR="001C09B3" w:rsidRPr="001C5372" w:rsidRDefault="00C21E63" w:rsidP="001069E7">
      <w:pPr>
        <w:tabs>
          <w:tab w:val="left" w:pos="2160"/>
          <w:tab w:val="left" w:pos="5760"/>
        </w:tabs>
        <w:rPr>
          <w:rFonts w:asciiTheme="minorHAnsi" w:hAnsiTheme="minorHAnsi" w:cs="Arial"/>
          <w:b/>
        </w:rPr>
      </w:pPr>
      <w:r w:rsidRPr="00C21E63">
        <w:rPr>
          <w:rFonts w:asciiTheme="minorHAnsi" w:hAnsiTheme="minorHAnsi" w:cs="Arial"/>
        </w:rPr>
        <w:t>Marie Morrison, Housing Services, Region of Waterloo, 519-575-4757 ext. 5042</w:t>
      </w:r>
    </w:p>
    <w:sectPr w:rsidR="001C09B3" w:rsidRPr="001C5372" w:rsidSect="00BB1CF3">
      <w:footerReference w:type="default" r:id="rId10"/>
      <w:pgSz w:w="12240" w:h="15840" w:code="1"/>
      <w:pgMar w:top="720" w:right="1440" w:bottom="1440" w:left="1440" w:header="720" w:footer="5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81D2E" w14:textId="77777777" w:rsidR="0037009F" w:rsidRDefault="0037009F" w:rsidP="00497F55">
      <w:r>
        <w:separator/>
      </w:r>
    </w:p>
  </w:endnote>
  <w:endnote w:type="continuationSeparator" w:id="0">
    <w:p w14:paraId="20181D2F" w14:textId="77777777" w:rsidR="0037009F" w:rsidRDefault="0037009F" w:rsidP="0049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swald">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FrizQuaReg">
    <w:altName w:val="Maiandra G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181D30" w14:textId="77777777" w:rsidR="00497F55" w:rsidRPr="00BB1CF3" w:rsidRDefault="00497F55" w:rsidP="00C95CDA">
    <w:pPr>
      <w:pBdr>
        <w:top w:val="single" w:sz="18" w:space="1" w:color="auto"/>
      </w:pBdr>
      <w:ind w:right="4"/>
      <w:jc w:val="both"/>
      <w:rPr>
        <w:rFonts w:ascii="FrizQuaReg" w:hAnsi="FrizQuaReg" w:cs="Arial"/>
        <w:i/>
        <w:sz w:val="18"/>
        <w:szCs w:val="18"/>
      </w:rPr>
    </w:pPr>
    <w:r w:rsidRPr="00BB1CF3">
      <w:rPr>
        <w:rFonts w:ascii="FrizQuaReg" w:hAnsi="FrizQuaReg" w:cs="Arial"/>
        <w:i/>
        <w:sz w:val="18"/>
        <w:szCs w:val="18"/>
      </w:rPr>
      <w:t>The Region of Waterloo provides more than 60 per cent of municipal services to a growing population of 5</w:t>
    </w:r>
    <w:r w:rsidR="00BB1CF3">
      <w:rPr>
        <w:rFonts w:ascii="FrizQuaReg" w:hAnsi="FrizQuaReg" w:cs="Arial"/>
        <w:i/>
        <w:sz w:val="18"/>
        <w:szCs w:val="18"/>
      </w:rPr>
      <w:t>5</w:t>
    </w:r>
    <w:r w:rsidRPr="00BB1CF3">
      <w:rPr>
        <w:rFonts w:ascii="FrizQuaReg" w:hAnsi="FrizQuaReg" w:cs="Arial"/>
        <w:i/>
        <w:sz w:val="18"/>
        <w:szCs w:val="18"/>
      </w:rPr>
      <w:t>0,000 people. We are committed to creating an inclusive, thriving and sustainable community through innovative leadership and a range of services such as: public health, social services, planning, heritage, water supply, regional roads, waste management, ambulance service, rural libraries, public transit, community housing, emergency planning, Provincial Offences Courts and airport services.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81D2C" w14:textId="77777777" w:rsidR="0037009F" w:rsidRDefault="0037009F" w:rsidP="00497F55">
      <w:r>
        <w:separator/>
      </w:r>
    </w:p>
  </w:footnote>
  <w:footnote w:type="continuationSeparator" w:id="0">
    <w:p w14:paraId="20181D2D" w14:textId="77777777" w:rsidR="0037009F" w:rsidRDefault="0037009F" w:rsidP="00497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02977"/>
    <w:multiLevelType w:val="hybridMultilevel"/>
    <w:tmpl w:val="727A3A34"/>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49C5B85"/>
    <w:multiLevelType w:val="multilevel"/>
    <w:tmpl w:val="6F0C9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C345A"/>
    <w:multiLevelType w:val="multilevel"/>
    <w:tmpl w:val="60E24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F245189"/>
    <w:multiLevelType w:val="multilevel"/>
    <w:tmpl w:val="98267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9F"/>
    <w:rsid w:val="00007933"/>
    <w:rsid w:val="00010054"/>
    <w:rsid w:val="00011A62"/>
    <w:rsid w:val="00024CC8"/>
    <w:rsid w:val="00075668"/>
    <w:rsid w:val="0007704E"/>
    <w:rsid w:val="001069E7"/>
    <w:rsid w:val="00112719"/>
    <w:rsid w:val="00145389"/>
    <w:rsid w:val="001574FA"/>
    <w:rsid w:val="001C09B3"/>
    <w:rsid w:val="001C5372"/>
    <w:rsid w:val="001E0341"/>
    <w:rsid w:val="001E4117"/>
    <w:rsid w:val="0029396F"/>
    <w:rsid w:val="00332E9D"/>
    <w:rsid w:val="0037009F"/>
    <w:rsid w:val="003E00B4"/>
    <w:rsid w:val="003F52EB"/>
    <w:rsid w:val="00425CED"/>
    <w:rsid w:val="004310D4"/>
    <w:rsid w:val="0048228A"/>
    <w:rsid w:val="00497F55"/>
    <w:rsid w:val="004A1C91"/>
    <w:rsid w:val="004D2700"/>
    <w:rsid w:val="005402B2"/>
    <w:rsid w:val="00576650"/>
    <w:rsid w:val="005B1877"/>
    <w:rsid w:val="005B32DE"/>
    <w:rsid w:val="00604454"/>
    <w:rsid w:val="00661250"/>
    <w:rsid w:val="0067029A"/>
    <w:rsid w:val="00680D00"/>
    <w:rsid w:val="00700DD0"/>
    <w:rsid w:val="00703FBC"/>
    <w:rsid w:val="007A26A5"/>
    <w:rsid w:val="00847838"/>
    <w:rsid w:val="00851EEA"/>
    <w:rsid w:val="008B7260"/>
    <w:rsid w:val="008B788F"/>
    <w:rsid w:val="00961BCA"/>
    <w:rsid w:val="00965CFB"/>
    <w:rsid w:val="00975629"/>
    <w:rsid w:val="009D09FF"/>
    <w:rsid w:val="00A77D9B"/>
    <w:rsid w:val="00AB35CC"/>
    <w:rsid w:val="00AB49C6"/>
    <w:rsid w:val="00AC0162"/>
    <w:rsid w:val="00AC54D9"/>
    <w:rsid w:val="00B12EC1"/>
    <w:rsid w:val="00B458B1"/>
    <w:rsid w:val="00B806BE"/>
    <w:rsid w:val="00B930F6"/>
    <w:rsid w:val="00BA5A6D"/>
    <w:rsid w:val="00BB1CF3"/>
    <w:rsid w:val="00BD0C3E"/>
    <w:rsid w:val="00BE074D"/>
    <w:rsid w:val="00C16E17"/>
    <w:rsid w:val="00C21E63"/>
    <w:rsid w:val="00C37BCB"/>
    <w:rsid w:val="00C95CDA"/>
    <w:rsid w:val="00CB2E5F"/>
    <w:rsid w:val="00D15197"/>
    <w:rsid w:val="00D322D7"/>
    <w:rsid w:val="00D7307A"/>
    <w:rsid w:val="00D74C4D"/>
    <w:rsid w:val="00DA0B2B"/>
    <w:rsid w:val="00DC487E"/>
    <w:rsid w:val="00E455E0"/>
    <w:rsid w:val="00E472D2"/>
    <w:rsid w:val="00E54057"/>
    <w:rsid w:val="00E96BE6"/>
    <w:rsid w:val="00EF05AC"/>
    <w:rsid w:val="00FC00B1"/>
    <w:rsid w:val="00FF52BF"/>
    <w:rsid w:val="00FF73C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0181D07"/>
  <w15:docId w15:val="{C3234C25-1831-4B1E-9110-0918F8732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2"/>
      <w:szCs w:val="22"/>
      <w:lang w:val="en-US" w:eastAsia="en-US"/>
    </w:rPr>
  </w:style>
  <w:style w:type="paragraph" w:styleId="Heading1">
    <w:name w:val="heading 1"/>
    <w:basedOn w:val="Normal"/>
    <w:link w:val="Heading1Char"/>
    <w:uiPriority w:val="9"/>
    <w:qFormat/>
    <w:rsid w:val="0037009F"/>
    <w:pPr>
      <w:spacing w:after="225" w:line="300" w:lineRule="atLeast"/>
      <w:outlineLvl w:val="0"/>
    </w:pPr>
    <w:rPr>
      <w:rFonts w:ascii="Oswald" w:hAnsi="Oswald"/>
      <w:color w:val="333333"/>
      <w:kern w:val="36"/>
      <w:sz w:val="23"/>
      <w:szCs w:val="23"/>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97F55"/>
    <w:pPr>
      <w:tabs>
        <w:tab w:val="center" w:pos="4680"/>
        <w:tab w:val="right" w:pos="9360"/>
      </w:tabs>
    </w:pPr>
  </w:style>
  <w:style w:type="character" w:customStyle="1" w:styleId="HeaderChar">
    <w:name w:val="Header Char"/>
    <w:basedOn w:val="DefaultParagraphFont"/>
    <w:link w:val="Header"/>
    <w:uiPriority w:val="99"/>
    <w:semiHidden/>
    <w:rsid w:val="00497F55"/>
    <w:rPr>
      <w:sz w:val="22"/>
      <w:szCs w:val="22"/>
      <w:lang w:val="en-US" w:eastAsia="en-US"/>
    </w:rPr>
  </w:style>
  <w:style w:type="paragraph" w:styleId="Footer">
    <w:name w:val="footer"/>
    <w:basedOn w:val="Normal"/>
    <w:link w:val="FooterChar"/>
    <w:uiPriority w:val="99"/>
    <w:unhideWhenUsed/>
    <w:rsid w:val="00497F55"/>
    <w:pPr>
      <w:tabs>
        <w:tab w:val="center" w:pos="4680"/>
        <w:tab w:val="right" w:pos="9360"/>
      </w:tabs>
    </w:pPr>
  </w:style>
  <w:style w:type="character" w:customStyle="1" w:styleId="FooterChar">
    <w:name w:val="Footer Char"/>
    <w:basedOn w:val="DefaultParagraphFont"/>
    <w:link w:val="Footer"/>
    <w:uiPriority w:val="99"/>
    <w:rsid w:val="00497F55"/>
    <w:rPr>
      <w:sz w:val="22"/>
      <w:szCs w:val="22"/>
      <w:lang w:val="en-US" w:eastAsia="en-US"/>
    </w:rPr>
  </w:style>
  <w:style w:type="character" w:customStyle="1" w:styleId="Heading1Char">
    <w:name w:val="Heading 1 Char"/>
    <w:basedOn w:val="DefaultParagraphFont"/>
    <w:link w:val="Heading1"/>
    <w:uiPriority w:val="9"/>
    <w:rsid w:val="0037009F"/>
    <w:rPr>
      <w:rFonts w:ascii="Oswald" w:hAnsi="Oswald"/>
      <w:color w:val="333333"/>
      <w:kern w:val="36"/>
      <w:sz w:val="23"/>
      <w:szCs w:val="23"/>
    </w:rPr>
  </w:style>
  <w:style w:type="character" w:customStyle="1" w:styleId="Date1">
    <w:name w:val="Date1"/>
    <w:rsid w:val="0037009F"/>
  </w:style>
  <w:style w:type="paragraph" w:styleId="Title">
    <w:name w:val="Title"/>
    <w:basedOn w:val="Normal"/>
    <w:next w:val="Normal"/>
    <w:link w:val="TitleChar"/>
    <w:uiPriority w:val="10"/>
    <w:qFormat/>
    <w:rsid w:val="00C21E6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21E63"/>
    <w:rPr>
      <w:rFonts w:asciiTheme="majorHAnsi" w:eastAsiaTheme="majorEastAsia" w:hAnsiTheme="majorHAnsi" w:cstheme="majorBidi"/>
      <w:b/>
      <w:bCs/>
      <w:kern w:val="28"/>
      <w:sz w:val="32"/>
      <w:szCs w:val="32"/>
      <w:lang w:val="en-US" w:eastAsia="en-US"/>
    </w:rPr>
  </w:style>
  <w:style w:type="paragraph" w:styleId="ListParagraph">
    <w:name w:val="List Paragraph"/>
    <w:basedOn w:val="Normal"/>
    <w:uiPriority w:val="34"/>
    <w:qFormat/>
    <w:rsid w:val="00E455E0"/>
    <w:pPr>
      <w:ind w:left="720"/>
      <w:contextualSpacing/>
    </w:pPr>
  </w:style>
  <w:style w:type="character" w:styleId="Hyperlink">
    <w:name w:val="Hyperlink"/>
    <w:basedOn w:val="DefaultParagraphFont"/>
    <w:uiPriority w:val="99"/>
    <w:semiHidden/>
    <w:unhideWhenUsed/>
    <w:rsid w:val="001C53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422431">
      <w:bodyDiv w:val="1"/>
      <w:marLeft w:val="0"/>
      <w:marRight w:val="0"/>
      <w:marTop w:val="0"/>
      <w:marBottom w:val="0"/>
      <w:divBdr>
        <w:top w:val="none" w:sz="0" w:space="0" w:color="auto"/>
        <w:left w:val="none" w:sz="0" w:space="0" w:color="auto"/>
        <w:bottom w:val="none" w:sz="0" w:space="0" w:color="auto"/>
        <w:right w:val="none" w:sz="0" w:space="0" w:color="auto"/>
      </w:divBdr>
    </w:div>
    <w:div w:id="2006319310">
      <w:bodyDiv w:val="1"/>
      <w:marLeft w:val="0"/>
      <w:marRight w:val="0"/>
      <w:marTop w:val="0"/>
      <w:marBottom w:val="0"/>
      <w:divBdr>
        <w:top w:val="none" w:sz="0" w:space="0" w:color="auto"/>
        <w:left w:val="none" w:sz="0" w:space="0" w:color="auto"/>
        <w:bottom w:val="none" w:sz="0" w:space="0" w:color="auto"/>
        <w:right w:val="none" w:sz="0" w:space="0" w:color="auto"/>
      </w:divBdr>
    </w:div>
    <w:div w:id="2139569851">
      <w:bodyDiv w:val="1"/>
      <w:marLeft w:val="0"/>
      <w:marRight w:val="0"/>
      <w:marTop w:val="0"/>
      <w:marBottom w:val="0"/>
      <w:divBdr>
        <w:top w:val="none" w:sz="0" w:space="0" w:color="auto"/>
        <w:left w:val="none" w:sz="0" w:space="0" w:color="auto"/>
        <w:bottom w:val="none" w:sz="0" w:space="0" w:color="auto"/>
        <w:right w:val="none" w:sz="0" w:space="0" w:color="auto"/>
      </w:divBdr>
      <w:divsChild>
        <w:div w:id="1796875416">
          <w:marLeft w:val="0"/>
          <w:marRight w:val="0"/>
          <w:marTop w:val="0"/>
          <w:marBottom w:val="0"/>
          <w:divBdr>
            <w:top w:val="none" w:sz="0" w:space="0" w:color="auto"/>
            <w:left w:val="none" w:sz="0" w:space="0" w:color="auto"/>
            <w:bottom w:val="none" w:sz="0" w:space="0" w:color="auto"/>
            <w:right w:val="none" w:sz="0" w:space="0" w:color="auto"/>
          </w:divBdr>
          <w:divsChild>
            <w:div w:id="718549038">
              <w:marLeft w:val="0"/>
              <w:marRight w:val="0"/>
              <w:marTop w:val="0"/>
              <w:marBottom w:val="375"/>
              <w:divBdr>
                <w:top w:val="none" w:sz="0" w:space="0" w:color="auto"/>
                <w:left w:val="none" w:sz="0" w:space="0" w:color="auto"/>
                <w:bottom w:val="none" w:sz="0" w:space="0" w:color="auto"/>
                <w:right w:val="none" w:sz="0" w:space="0" w:color="auto"/>
              </w:divBdr>
              <w:divsChild>
                <w:div w:id="392510886">
                  <w:marLeft w:val="0"/>
                  <w:marRight w:val="0"/>
                  <w:marTop w:val="0"/>
                  <w:marBottom w:val="0"/>
                  <w:divBdr>
                    <w:top w:val="none" w:sz="0" w:space="0" w:color="auto"/>
                    <w:left w:val="none" w:sz="0" w:space="0" w:color="auto"/>
                    <w:bottom w:val="none" w:sz="0" w:space="0" w:color="auto"/>
                    <w:right w:val="none" w:sz="0" w:space="0" w:color="auto"/>
                  </w:divBdr>
                  <w:divsChild>
                    <w:div w:id="37513938">
                      <w:marLeft w:val="0"/>
                      <w:marRight w:val="0"/>
                      <w:marTop w:val="0"/>
                      <w:marBottom w:val="0"/>
                      <w:divBdr>
                        <w:top w:val="none" w:sz="0" w:space="0" w:color="auto"/>
                        <w:left w:val="none" w:sz="0" w:space="0" w:color="auto"/>
                        <w:bottom w:val="none" w:sz="0" w:space="0" w:color="auto"/>
                        <w:right w:val="none" w:sz="0" w:space="0" w:color="auto"/>
                      </w:divBdr>
                      <w:divsChild>
                        <w:div w:id="1392384882">
                          <w:marLeft w:val="0"/>
                          <w:marRight w:val="0"/>
                          <w:marTop w:val="0"/>
                          <w:marBottom w:val="0"/>
                          <w:divBdr>
                            <w:top w:val="none" w:sz="0" w:space="0" w:color="auto"/>
                            <w:left w:val="none" w:sz="0" w:space="0" w:color="auto"/>
                            <w:bottom w:val="none" w:sz="0" w:space="0" w:color="auto"/>
                            <w:right w:val="none" w:sz="0" w:space="0" w:color="auto"/>
                          </w:divBdr>
                          <w:divsChild>
                            <w:div w:id="119349301">
                              <w:marLeft w:val="0"/>
                              <w:marRight w:val="0"/>
                              <w:marTop w:val="0"/>
                              <w:marBottom w:val="225"/>
                              <w:divBdr>
                                <w:top w:val="none" w:sz="0" w:space="0" w:color="auto"/>
                                <w:left w:val="none" w:sz="0" w:space="0" w:color="auto"/>
                                <w:bottom w:val="none" w:sz="0" w:space="0" w:color="auto"/>
                                <w:right w:val="none" w:sz="0" w:space="0" w:color="auto"/>
                              </w:divBdr>
                            </w:div>
                            <w:div w:id="173173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inyurl.com/WRRegistryWeekDebrie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5D375C-B585-49A3-909A-852D547BD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Region of Waterloo</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name</dc:creator>
  <cp:keywords/>
  <dc:description>Insert Postal Code</dc:description>
  <cp:lastModifiedBy>Marie Morrison</cp:lastModifiedBy>
  <cp:revision>2</cp:revision>
  <cp:lastPrinted>2002-10-02T16:33:00Z</cp:lastPrinted>
  <dcterms:created xsi:type="dcterms:W3CDTF">2019-10-15T00:57:00Z</dcterms:created>
  <dcterms:modified xsi:type="dcterms:W3CDTF">2019-10-15T00:57:00Z</dcterms:modified>
</cp:coreProperties>
</file>